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80"/>
      </w:pPr>
      <w:r>
        <w:drawing>
          <wp:inline xmlns:a="http://schemas.openxmlformats.org/drawingml/2006/main" xmlns:pic="http://schemas.openxmlformats.org/drawingml/2006/picture">
            <wp:extent cx="590550" cy="561975"/>
            <wp:docPr id="1" name="Picture 1"/>
            <wp:cNvGraphicFramePr>
              <a:graphicFrameLocks noChangeAspect="1"/>
            </wp:cNvGraphicFramePr>
            <a:graphic>
              <a:graphicData uri="http://schemas.openxmlformats.org/drawingml/2006/picture">
                <pic:pic>
                  <pic:nvPicPr>
                    <pic:cNvPr id="0" name="image.jpg"/>
                    <pic:cNvPicPr/>
                  </pic:nvPicPr>
                  <pic:blipFill>
                    <a:blip r:embed="rId7"/>
                    <a:stretch>
                      <a:fillRect/>
                    </a:stretch>
                  </pic:blipFill>
                  <pic:spPr>
                    <a:xfrm>
                      <a:off x="0" y="0"/>
                      <a:ext cx="590550" cy="561975"/>
                    </a:xfrm>
                    <a:prstGeom prst="rect"/>
                  </pic:spPr>
                </pic:pic>
              </a:graphicData>
            </a:graphic>
          </wp:inline>
        </w:drawing>
      </w:r>
    </w:p>
    <w:p>
      <w:pPr>
        <w:spacing w:after="40"/>
      </w:pPr>
      <w:r>
        <w:rPr>
          <w:b/>
          <w:i w:val="0"/>
          <w:color w:val="0F5376"/>
          <w:sz w:val="19"/>
          <w:spacing w:val="24"/>
        </w:rPr>
        <w:t>ANNETTE STREET PRIMARY SCHOOL</w:t>
      </w:r>
    </w:p>
    <w:p>
      <w:pPr>
        <w:spacing w:after="100"/>
      </w:pPr>
      <w:r>
        <w:rPr>
          <w:b/>
          <w:i w:val="0"/>
          <w:color w:val="0F5376"/>
          <w:sz w:val="44"/>
        </w:rPr>
        <w:t>Food and Health Policy</w:t>
      </w:r>
    </w:p>
    <w:p>
      <w:pPr>
        <w:spacing w:after="60"/>
      </w:pPr>
      <w:r>
        <w:rPr>
          <w:b w:val="0"/>
          <w:i w:val="0"/>
          <w:color w:val="5F7381"/>
          <w:sz w:val="21"/>
        </w:rPr>
        <w:t>School meals, snacks, packed lunches and food in the curriculum</w:t>
      </w:r>
    </w:p>
    <w:p>
      <w:pPr>
        <w:spacing w:after="220"/>
        <w:pBdr>
          <w:bottom w:val="single" w:sz="12" w:space="4" w:color="0F5376"/>
        </w:pBdr>
      </w:pPr>
    </w:p>
    <w:tbl>
      <w:tblPr>
        <w:tblW w:type="auto" w:w="0"/>
        <w:tblLayout w:type="fixed"/>
        <w:tblLook w:firstColumn="1" w:firstRow="1" w:lastColumn="0" w:lastRow="0" w:noHBand="0" w:noVBand="1" w:val="04A0"/>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Pr>
      <w:tblGrid>
        <w:gridCol w:w="3213"/>
        <w:gridCol w:w="3213"/>
        <w:gridCol w:w="3213"/>
      </w:tblGrid>
      <w:tr>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OWNER</w:t>
            </w:r>
          </w:p>
          <w:p>
            <w:pPr>
              <w:spacing w:after="0"/>
            </w:pPr>
            <w:r>
              <w:rPr>
                <w:b w:val="0"/>
                <w:i w:val="0"/>
                <w:sz w:val="20"/>
              </w:rPr>
              <w:t>Depute Head Teacher</w:t>
            </w:r>
          </w:p>
        </w:tc>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UPDATED</w:t>
            </w:r>
          </w:p>
          <w:p>
            <w:pPr>
              <w:spacing w:after="0"/>
            </w:pPr>
            <w:r>
              <w:rPr>
                <w:b w:val="0"/>
                <w:i w:val="0"/>
                <w:sz w:val="20"/>
              </w:rPr>
              <w:t>August 2026</w:t>
            </w:r>
          </w:p>
        </w:tc>
        <w:tc>
          <w:tcPr>
            <w:tcW w:type="dxa" w:w="3213"/>
            <w:shd w:val="clear" w:color="auto" w:fill="F1F7FA"/>
            <w:tcMar>
              <w:top w:w="120" w:type="dxa"/>
              <w:left w:w="160" w:type="dxa"/>
              <w:bottom w:w="120" w:type="dxa"/>
              <w:right w:w="160" w:type="dxa"/>
            </w:tcMar>
          </w:tcPr>
          <w:p>
            <w:pPr>
              <w:spacing w:after="20"/>
            </w:pPr>
            <w:r/>
            <w:r>
              <w:rPr>
                <w:b/>
                <w:i w:val="0"/>
                <w:color w:val="5F7381"/>
                <w:sz w:val="15"/>
                <w:spacing w:val="16"/>
              </w:rPr>
              <w:t>NEXT REVIEW</w:t>
            </w:r>
          </w:p>
          <w:p>
            <w:pPr>
              <w:spacing w:after="0"/>
            </w:pPr>
            <w:r>
              <w:rPr>
                <w:b w:val="0"/>
                <w:i w:val="0"/>
                <w:sz w:val="20"/>
              </w:rPr>
              <w:t>June 2029</w:t>
            </w:r>
          </w:p>
        </w:tc>
      </w:tr>
    </w:tbl>
    <w:p>
      <w:pPr>
        <w:spacing w:after="260"/>
      </w:pPr>
    </w:p>
    <w:p>
      <w:pPr>
        <w:pStyle w:val="Heading1"/>
      </w:pPr>
      <w:r>
        <w:rPr>
          <w:b/>
          <w:i w:val="0"/>
          <w:color w:val="0F5376"/>
          <w:sz w:val="26"/>
        </w:rPr>
        <w:t>1  Rationale</w:t>
      </w:r>
    </w:p>
    <w:p>
      <w:pPr>
        <w:spacing w:after="140"/>
        <w:spacing w:line="276" w:lineRule="auto"/>
      </w:pPr>
      <w:r>
        <w:rPr>
          <w:b w:val="0"/>
          <w:i w:val="0"/>
          <w:sz w:val="20"/>
        </w:rPr>
        <w:t>Food at school is about health, learning and dignity. For some of our children the school meal is the most substantial food of their day, and how it is served matters as much as what is on the plate. This policy covers school meals, snacks, packed lunches, food in the curriculum and food at events.</w:t>
      </w:r>
    </w:p>
    <w:p>
      <w:pPr>
        <w:spacing w:after="140"/>
        <w:spacing w:line="276" w:lineRule="auto"/>
      </w:pPr>
      <w:r>
        <w:rPr>
          <w:b w:val="0"/>
          <w:i w:val="0"/>
          <w:sz w:val="20"/>
        </w:rPr>
        <w:t>It reflects the Nutritional Requirements for Food and Drink in Schools (Scotland) Regulations 2020, as amended, national guidance on food in schools, and Glasgow City Council catering arrangements. Allergy management is covered separately in the Allergy, Anaphylaxis and Infection Control Policy.</w:t>
      </w:r>
    </w:p>
    <w:tbl>
      <w:tblPr>
        <w:tblW w:type="auto" w:w="0"/>
        <w:tblLayout w:type="fixed"/>
        <w:tblLook w:firstColumn="1" w:firstRow="1" w:lastColumn="0" w:lastRow="0" w:noHBand="0" w:noVBand="1" w:val="04A0"/>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Pr>
      <w:tblGrid>
        <w:gridCol w:w="9638"/>
      </w:tblGrid>
      <w:tr>
        <w:tc>
          <w:tcPr>
            <w:tcW w:type="dxa" w:w="9638"/>
            <w:shd w:val="clear" w:color="auto" w:fill="F1F7FA"/>
            <w:tcMar>
              <w:top w:w="140" w:type="dxa"/>
              <w:left w:w="200" w:type="dxa"/>
              <w:bottom w:w="140" w:type="dxa"/>
              <w:right w:w="200" w:type="dxa"/>
            </w:tcMar>
          </w:tcPr>
          <w:p>
            <w:pPr>
              <w:spacing w:before="20" w:after="0"/>
              <w:spacing w:line="264" w:lineRule="auto"/>
            </w:pPr>
            <w:r/>
            <w:r>
              <w:rPr>
                <w:b w:val="0"/>
                <w:i w:val="0"/>
                <w:sz w:val="21"/>
              </w:rPr>
              <w:t>No child at Annette Street goes hungry, and no child is identifiable as the one who is getting help with food.</w:t>
            </w:r>
          </w:p>
        </w:tc>
      </w:tr>
    </w:tbl>
    <w:p>
      <w:pPr>
        <w:spacing w:after="200"/>
      </w:pPr>
    </w:p>
    <w:p>
      <w:pPr>
        <w:pStyle w:val="Heading1"/>
      </w:pPr>
      <w:r>
        <w:rPr>
          <w:b/>
          <w:i w:val="0"/>
          <w:color w:val="0F5376"/>
          <w:sz w:val="26"/>
        </w:rPr>
        <w:t>2  School meals</w:t>
      </w:r>
    </w:p>
    <w:p>
      <w:pPr>
        <w:spacing w:after="140"/>
        <w:spacing w:line="276" w:lineRule="auto"/>
      </w:pPr>
      <w:r>
        <w:rPr>
          <w:b w:val="0"/>
          <w:i w:val="0"/>
          <w:sz w:val="20"/>
        </w:rPr>
        <w:t>School meals meet the statutory nutritional requirements and are provided by Glasgow City Council catering services. Free school meal entitlement is applied automatically wherever the council data allows, and the office supports families to register where it does not. Payment systems are cashless and no child ever knows, from anything that happens in the dining hall, whether their meal is paid for.</w:t>
      </w:r>
    </w:p>
    <w:p>
      <w:pPr>
        <w:spacing w:after="140"/>
        <w:spacing w:line="276" w:lineRule="auto"/>
      </w:pPr>
      <w:r>
        <w:rPr>
          <w:b w:val="0"/>
          <w:i w:val="0"/>
          <w:sz w:val="20"/>
        </w:rPr>
        <w:t>The dining hall is treated as part of the school day, not an interruption to it. Children have enough time to eat, adults sit and eat with children where staffing allows, and the hall is supervised in a way that keeps it calm. Children are encouraged to try food and never forced to eat, and food is never used as a reward or withheld as a consequence.</w:t>
      </w:r>
    </w:p>
    <w:p>
      <w:pPr>
        <w:pStyle w:val="Heading1"/>
      </w:pPr>
      <w:r>
        <w:rPr>
          <w:b/>
          <w:i w:val="0"/>
          <w:color w:val="0F5376"/>
          <w:sz w:val="26"/>
        </w:rPr>
        <w:t>3  Breakfast and snacks</w:t>
      </w:r>
    </w:p>
    <w:p>
      <w:pPr>
        <w:spacing w:after="140"/>
        <w:spacing w:line="276" w:lineRule="auto"/>
      </w:pPr>
      <w:r>
        <w:rPr>
          <w:b w:val="0"/>
          <w:i w:val="0"/>
          <w:sz w:val="20"/>
        </w:rPr>
        <w:t>Breakfast club is open to all children, free at the point of use, and no family is asked to justify attending. Fruit and milk are available in the early stages, and any child who has not eaten can get something at any point in the day by asking any adult.</w:t>
      </w:r>
    </w:p>
    <w:p>
      <w:pPr>
        <w:spacing w:after="140"/>
        <w:spacing w:line="276" w:lineRule="auto"/>
      </w:pPr>
      <w:r>
        <w:rPr>
          <w:b w:val="0"/>
          <w:i w:val="0"/>
          <w:sz w:val="20"/>
        </w:rPr>
        <w:t>We ask families to send fruit, vegetables, bread, crackers or similar as a mid-morning snack rather than sweets, chocolate or crisps, and water rather than fizzy or energy drinks. Energy drinks are not permitted. Where a child arrives without a snack we provide one and say nothing about it.</w:t>
      </w:r>
    </w:p>
    <w:p>
      <w:pPr>
        <w:pStyle w:val="Heading1"/>
      </w:pPr>
      <w:r>
        <w:rPr>
          <w:b/>
          <w:i w:val="0"/>
          <w:color w:val="0F5376"/>
          <w:sz w:val="26"/>
        </w:rPr>
        <w:t>4  Packed lunches</w:t>
      </w:r>
    </w:p>
    <w:p>
      <w:pPr>
        <w:spacing w:after="140"/>
        <w:spacing w:line="276" w:lineRule="auto"/>
      </w:pPr>
      <w:r>
        <w:rPr>
          <w:b w:val="0"/>
          <w:i w:val="0"/>
          <w:sz w:val="20"/>
        </w:rPr>
        <w:t>Families choosing a packed lunch are asked to keep it broadly in line with the standards the school meal must meet, and to avoid nuts and nut products entirely, as we are a nut-aware school. We give guidance and ideas, in accessible language and in community languages where we can, and we recognise that cost, culture and what a child will actually eat all shape what goes in a lunchbox. We do not inspect, comment on or send notes home about the contents of a child’s lunch.</w:t>
      </w:r>
    </w:p>
    <w:p>
      <w:pPr>
        <w:pStyle w:val="Heading1"/>
      </w:pPr>
      <w:r>
        <w:rPr>
          <w:b/>
          <w:i w:val="0"/>
          <w:color w:val="0F5376"/>
          <w:sz w:val="26"/>
        </w:rPr>
        <w:t>5  Food in the curriculum</w:t>
      </w:r>
    </w:p>
    <w:p>
      <w:pPr>
        <w:spacing w:after="140"/>
        <w:spacing w:line="276" w:lineRule="auto"/>
      </w:pPr>
      <w:r>
        <w:rPr>
          <w:b w:val="0"/>
          <w:i w:val="0"/>
          <w:sz w:val="20"/>
        </w:rPr>
        <w:t>Food education is taught across the stages within health and wellbeing: where food comes from, how to prepare it safely, what a balanced diet looks like, and how to read a label. Cooking is practical and is planned so that every child can take part, with ingredients provided by the school and allergy and dietary requirements built into the plan rather than accommodated afterwards.</w:t>
      </w:r>
    </w:p>
    <w:p>
      <w:pPr>
        <w:spacing w:after="140"/>
        <w:spacing w:line="276" w:lineRule="auto"/>
      </w:pPr>
      <w:r>
        <w:rPr>
          <w:b w:val="0"/>
          <w:i w:val="0"/>
          <w:sz w:val="20"/>
        </w:rPr>
        <w:t>Teaching about food is handled carefully. We teach about health without moralising about weight, body shape or particular foods, and without implying that a family’s choices are wrong. Cultural and religious food practices are treated as part of the curriculum content, not as exceptions to it.</w:t>
      </w:r>
    </w:p>
    <w:p>
      <w:pPr>
        <w:pStyle w:val="Heading1"/>
      </w:pPr>
      <w:r>
        <w:rPr>
          <w:b/>
          <w:i w:val="0"/>
          <w:color w:val="0F5376"/>
          <w:sz w:val="26"/>
        </w:rPr>
        <w:t>6  Food at events and celebrations</w:t>
      </w:r>
    </w:p>
    <w:p>
      <w:pPr>
        <w:spacing w:after="140"/>
        <w:spacing w:line="276" w:lineRule="auto"/>
      </w:pPr>
      <w:r>
        <w:rPr>
          <w:b w:val="0"/>
          <w:i w:val="0"/>
          <w:sz w:val="20"/>
        </w:rPr>
        <w:t>Food brought in for celebrations must be commercially packaged with a visible ingredients list. Where food is part of an event, an alternative is always available so that dietary, religious and allergy needs are met without a child sitting out, and there is no cost to families.</w:t>
      </w:r>
    </w:p>
    <w:p>
      <w:pPr>
        <w:pStyle w:val="Heading1"/>
      </w:pPr>
      <w:r>
        <w:rPr>
          <w:b/>
          <w:i w:val="0"/>
          <w:color w:val="0F5376"/>
          <w:sz w:val="26"/>
        </w:rPr>
        <w:t>7  Food insecurity</w:t>
      </w:r>
    </w:p>
    <w:p>
      <w:pPr>
        <w:spacing w:after="140"/>
        <w:spacing w:line="276" w:lineRule="auto"/>
      </w:pPr>
      <w:r>
        <w:rPr>
          <w:b w:val="0"/>
          <w:i w:val="0"/>
          <w:sz w:val="20"/>
        </w:rPr>
        <w:t>Where staff have any concern that a child is not getting enough to eat at home, they tell the Depute Head Teacher the same day. The response is practical and immediate — food provided here, a referral to partners, help with entitlements — and where there is a wider welfare concern it is handled under the Child Protection and Safeguarding Policy. Support with food is offered without a family having to ask.</w:t>
      </w:r>
    </w:p>
    <w:p>
      <w:pPr>
        <w:pStyle w:val="Heading1"/>
      </w:pPr>
      <w:r>
        <w:rPr>
          <w:b/>
          <w:i w:val="0"/>
          <w:color w:val="0F5376"/>
          <w:sz w:val="26"/>
        </w:rPr>
        <w:t>8  Roles and review</w:t>
      </w:r>
    </w:p>
    <w:tbl>
      <w:tblPr>
        <w:tblW w:type="auto" w:w="0"/>
        <w:tblLayout w:type="fixed"/>
        <w:tblLook w:firstColumn="1" w:firstRow="1" w:lastColumn="0" w:lastRow="0" w:noHBand="0" w:noVBand="1" w:val="04A0"/>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Pr>
      <w:tblGrid>
        <w:gridCol w:w="4819"/>
        <w:gridCol w:w="4819"/>
      </w:tblGrid>
      <w:tr>
        <w:trPr>
          <w:cantSplit/>
          <w:tblHeader/>
        </w:trPr>
        <w:tc>
          <w:tcPr>
            <w:tcW w:type="dxa" w:w="2506"/>
            <w:shd w:val="clear" w:color="auto" w:fill="0F5376"/>
            <w:tcMar>
              <w:top w:w="100" w:type="dxa"/>
              <w:left w:w="140" w:type="dxa"/>
              <w:bottom w:w="100" w:type="dxa"/>
              <w:right w:w="140" w:type="dxa"/>
            </w:tcMar>
          </w:tcPr>
          <w:p>
            <w:pPr>
              <w:spacing w:before="20" w:after="0"/>
              <w:spacing w:line="264" w:lineRule="auto"/>
            </w:pPr>
            <w:r/>
            <w:r>
              <w:rPr>
                <w:b/>
                <w:i w:val="0"/>
                <w:color w:val="FFFFFF"/>
                <w:sz w:val="20"/>
              </w:rPr>
              <w:t>Who</w:t>
            </w:r>
          </w:p>
        </w:tc>
        <w:tc>
          <w:tcPr>
            <w:tcW w:type="dxa" w:w="7132"/>
            <w:shd w:val="clear" w:color="auto" w:fill="0F5376"/>
            <w:tcMar>
              <w:top w:w="100" w:type="dxa"/>
              <w:left w:w="140" w:type="dxa"/>
              <w:bottom w:w="100" w:type="dxa"/>
              <w:right w:w="140" w:type="dxa"/>
            </w:tcMar>
          </w:tcPr>
          <w:p>
            <w:pPr>
              <w:spacing w:before="20" w:after="0"/>
              <w:spacing w:line="264" w:lineRule="auto"/>
            </w:pPr>
            <w:r/>
            <w:r>
              <w:rPr>
                <w:b/>
                <w:i w:val="0"/>
                <w:color w:val="FFFFFF"/>
                <w:sz w:val="20"/>
              </w:rPr>
              <w:t>Responsibility</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Depute Head Teacher</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Leads food and health, liaises with catering, and coordinates support for families.</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Catering staff</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Provide meals meeting the regulations and hold allergy and dietary information.</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Class teachers</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Teach food education, notice children who are hungry, and pass concerns on.</w:t>
            </w:r>
          </w:p>
        </w:tc>
      </w:tr>
      <w:tr>
        <w:trPr>
          <w:cantSplit/>
        </w:trPr>
        <w:tc>
          <w:tcPr>
            <w:tcW w:type="dxa" w:w="2506"/>
            <w:shd w:val="clear" w:color="auto" w:fill="FFFFFF"/>
            <w:tcMar>
              <w:top w:w="110" w:type="dxa"/>
              <w:left w:w="140" w:type="dxa"/>
              <w:bottom w:w="110" w:type="dxa"/>
              <w:right w:w="140" w:type="dxa"/>
            </w:tcMar>
          </w:tcPr>
          <w:p>
            <w:pPr>
              <w:spacing w:before="20" w:after="0"/>
              <w:spacing w:line="264" w:lineRule="auto"/>
            </w:pPr>
            <w:r/>
            <w:r>
              <w:rPr>
                <w:b w:val="0"/>
                <w:i w:val="0"/>
                <w:sz w:val="20"/>
              </w:rPr>
              <w:t>Office staff</w:t>
            </w:r>
          </w:p>
        </w:tc>
        <w:tc>
          <w:tcPr>
            <w:tcW w:type="dxa" w:w="7132"/>
            <w:shd w:val="clear" w:color="auto" w:fill="FFFFFF"/>
            <w:tcMar>
              <w:top w:w="110" w:type="dxa"/>
              <w:left w:w="140" w:type="dxa"/>
              <w:bottom w:w="110" w:type="dxa"/>
              <w:right w:w="140" w:type="dxa"/>
            </w:tcMar>
          </w:tcPr>
          <w:p>
            <w:pPr>
              <w:spacing w:before="20" w:after="0"/>
              <w:spacing w:line="264" w:lineRule="auto"/>
            </w:pPr>
            <w:r/>
            <w:r>
              <w:rPr>
                <w:b w:val="0"/>
                <w:i w:val="0"/>
                <w:sz w:val="20"/>
              </w:rPr>
              <w:t>Manage entitlements and payment discreetly, and support families to register.</w:t>
            </w:r>
          </w:p>
        </w:tc>
      </w:tr>
    </w:tbl>
    <w:p>
      <w:pPr>
        <w:spacing w:after="200"/>
      </w:pPr>
    </w:p>
    <w:p>
      <w:pPr>
        <w:spacing w:after="140"/>
        <w:spacing w:line="276" w:lineRule="auto"/>
      </w:pPr>
      <w:r>
        <w:rPr>
          <w:b w:val="0"/>
          <w:i w:val="0"/>
          <w:sz w:val="20"/>
        </w:rPr>
        <w:t>This policy is reviewed by June 2029. Linked policies: Health and Wellbeing; Allergy, Anaphylaxis and Infection Control; Cost of the School Day; Administration of Medication; Equalities; Lettings, Charging and Remissions; Child Protection and Safeguarding.</w:t>
      </w:r>
    </w:p>
    <w:sectPr w:rsidR="00E13C50">
      <w:footerReference w:type="default" r:id="rId9"/>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A8DAD" w14:textId="77777777" w:rsidR="00A02BE4" w:rsidRDefault="00A02BE4">
      <w:pPr>
        <w:spacing w:after="0" w:line="240" w:lineRule="auto"/>
      </w:pPr>
      <w:r>
        <w:separator/>
      </w:r>
    </w:p>
  </w:endnote>
  <w:endnote w:type="continuationSeparator" w:id="0">
    <w:p w14:paraId="274C32D1" w14:textId="77777777" w:rsidR="00A02BE4" w:rsidRDefault="00A02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50FB" w14:textId="77777777" w:rsidR="00E13C50" w:rsidRDefault="00A02BE4">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Food and Health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D21C90">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D21C90">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73CEA" w14:textId="77777777" w:rsidR="00A02BE4" w:rsidRDefault="00A02BE4">
      <w:pPr>
        <w:spacing w:after="0" w:line="240" w:lineRule="auto"/>
      </w:pPr>
      <w:r>
        <w:separator/>
      </w:r>
    </w:p>
  </w:footnote>
  <w:footnote w:type="continuationSeparator" w:id="0">
    <w:p w14:paraId="4BFF3854" w14:textId="77777777" w:rsidR="00A02BE4" w:rsidRDefault="00A02B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471E9"/>
    <w:multiLevelType w:val="hybridMultilevel"/>
    <w:tmpl w:val="8F1EFE6E"/>
    <w:lvl w:ilvl="0" w:tplc="636CA9EE">
      <w:start w:val="1"/>
      <w:numFmt w:val="bullet"/>
      <w:lvlText w:val="●"/>
      <w:lvlJc w:val="left"/>
      <w:pPr>
        <w:ind w:left="720" w:hanging="360"/>
      </w:pPr>
    </w:lvl>
    <w:lvl w:ilvl="1" w:tplc="AE4A0336">
      <w:start w:val="1"/>
      <w:numFmt w:val="bullet"/>
      <w:lvlText w:val="○"/>
      <w:lvlJc w:val="left"/>
      <w:pPr>
        <w:ind w:left="1440" w:hanging="360"/>
      </w:pPr>
    </w:lvl>
    <w:lvl w:ilvl="2" w:tplc="82569B1A">
      <w:start w:val="1"/>
      <w:numFmt w:val="bullet"/>
      <w:lvlText w:val="■"/>
      <w:lvlJc w:val="left"/>
      <w:pPr>
        <w:ind w:left="2160" w:hanging="360"/>
      </w:pPr>
    </w:lvl>
    <w:lvl w:ilvl="3" w:tplc="C0E0D03E">
      <w:start w:val="1"/>
      <w:numFmt w:val="bullet"/>
      <w:lvlText w:val="●"/>
      <w:lvlJc w:val="left"/>
      <w:pPr>
        <w:ind w:left="2880" w:hanging="360"/>
      </w:pPr>
    </w:lvl>
    <w:lvl w:ilvl="4" w:tplc="9528BC20">
      <w:start w:val="1"/>
      <w:numFmt w:val="bullet"/>
      <w:lvlText w:val="○"/>
      <w:lvlJc w:val="left"/>
      <w:pPr>
        <w:ind w:left="3600" w:hanging="360"/>
      </w:pPr>
    </w:lvl>
    <w:lvl w:ilvl="5" w:tplc="AF5AB5BA">
      <w:start w:val="1"/>
      <w:numFmt w:val="bullet"/>
      <w:lvlText w:val="■"/>
      <w:lvlJc w:val="left"/>
      <w:pPr>
        <w:ind w:left="4320" w:hanging="360"/>
      </w:pPr>
    </w:lvl>
    <w:lvl w:ilvl="6" w:tplc="4E2674C6">
      <w:start w:val="1"/>
      <w:numFmt w:val="bullet"/>
      <w:lvlText w:val="●"/>
      <w:lvlJc w:val="left"/>
      <w:pPr>
        <w:ind w:left="5040" w:hanging="360"/>
      </w:pPr>
    </w:lvl>
    <w:lvl w:ilvl="7" w:tplc="51605C7E">
      <w:start w:val="1"/>
      <w:numFmt w:val="bullet"/>
      <w:lvlText w:val="●"/>
      <w:lvlJc w:val="left"/>
      <w:pPr>
        <w:ind w:left="5760" w:hanging="360"/>
      </w:pPr>
    </w:lvl>
    <w:lvl w:ilvl="8" w:tplc="DD745832">
      <w:start w:val="1"/>
      <w:numFmt w:val="bullet"/>
      <w:lvlText w:val="●"/>
      <w:lvlJc w:val="left"/>
      <w:pPr>
        <w:ind w:left="6480" w:hanging="360"/>
      </w:pPr>
    </w:lvl>
  </w:abstractNum>
  <w:abstractNum w:abstractNumId="1" w15:restartNumberingAfterBreak="0">
    <w:nsid w:val="67447A2B"/>
    <w:multiLevelType w:val="hybridMultilevel"/>
    <w:tmpl w:val="4E628842"/>
    <w:lvl w:ilvl="0" w:tplc="BE848864">
      <w:start w:val="1"/>
      <w:numFmt w:val="bullet"/>
      <w:lvlText w:val="•"/>
      <w:lvlJc w:val="left"/>
      <w:pPr>
        <w:ind w:left="360" w:hanging="240"/>
      </w:pPr>
      <w:rPr>
        <w:b/>
        <w:bCs/>
        <w:color w:val="0F5376"/>
      </w:rPr>
    </w:lvl>
    <w:lvl w:ilvl="1" w:tplc="0A84D644">
      <w:numFmt w:val="decimal"/>
      <w:lvlText w:val=""/>
      <w:lvlJc w:val="left"/>
    </w:lvl>
    <w:lvl w:ilvl="2" w:tplc="913C535E">
      <w:numFmt w:val="decimal"/>
      <w:lvlText w:val=""/>
      <w:lvlJc w:val="left"/>
    </w:lvl>
    <w:lvl w:ilvl="3" w:tplc="9F503678">
      <w:numFmt w:val="decimal"/>
      <w:lvlText w:val=""/>
      <w:lvlJc w:val="left"/>
    </w:lvl>
    <w:lvl w:ilvl="4" w:tplc="03B0AF04">
      <w:numFmt w:val="decimal"/>
      <w:lvlText w:val=""/>
      <w:lvlJc w:val="left"/>
    </w:lvl>
    <w:lvl w:ilvl="5" w:tplc="AB020608">
      <w:numFmt w:val="decimal"/>
      <w:lvlText w:val=""/>
      <w:lvlJc w:val="left"/>
    </w:lvl>
    <w:lvl w:ilvl="6" w:tplc="A5D0A25A">
      <w:numFmt w:val="decimal"/>
      <w:lvlText w:val=""/>
      <w:lvlJc w:val="left"/>
    </w:lvl>
    <w:lvl w:ilvl="7" w:tplc="04663EB8">
      <w:numFmt w:val="decimal"/>
      <w:lvlText w:val=""/>
      <w:lvlJc w:val="left"/>
    </w:lvl>
    <w:lvl w:ilvl="8" w:tplc="774631F6">
      <w:numFmt w:val="decimal"/>
      <w:lvlText w:val=""/>
      <w:lvlJc w:val="left"/>
    </w:lvl>
  </w:abstractNum>
  <w:num w:numId="1" w16cid:durableId="7082664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C50"/>
    <w:rsid w:val="001A28E9"/>
    <w:rsid w:val="00A02BE4"/>
    <w:rsid w:val="00D21C90"/>
    <w:rsid w:val="00E13C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EFB2B"/>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1289</Words>
  <Characters>7350</Characters>
  <Application>Microsoft Office Word</Application>
  <DocSecurity>0</DocSecurity>
  <Lines>61</Lines>
  <Paragraphs>17</Paragraphs>
  <ScaleCrop>false</ScaleCrop>
  <Company>Glasgow city Council</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2026-09-06T17:29:00Z</dcterms:created>
  <dcterms:modified xsi:type="dcterms:W3CDTF">2026-09-06T17:29:00Z</dcterms:modified>
</cp:coreProperties>
</file>