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First Aid, Accidents and Incident Reporting Policy</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Rationale</w:t>
      </w:r>
    </w:p>
    <w:p>
      <w:pPr>
        <w:spacing w:after="140"/>
        <w:spacing w:line="276" w:lineRule="auto"/>
      </w:pPr>
      <w:r>
        <w:rPr>
          <w:b w:val="0"/>
          <w:i w:val="0"/>
          <w:sz w:val="20"/>
        </w:rPr>
        <w:t>Children get hurt at school. Most of it is minor, and what matters is that the response is quick, kind, competent and properly recorded. This policy sets out who provides first aid at Annette Street, what we do when a child or adult is injured, and how we record and report what happened.</w:t>
      </w:r>
    </w:p>
    <w:p>
      <w:pPr>
        <w:spacing w:after="140"/>
        <w:spacing w:line="276" w:lineRule="auto"/>
      </w:pPr>
      <w:r>
        <w:rPr>
          <w:b w:val="0"/>
          <w:i w:val="0"/>
          <w:sz w:val="20"/>
        </w:rPr>
        <w:t>It sits under the Health and Safety Policy and reflects the Health and Safety (First-Aid) Regulations 1981, the Reporting of Injuries, Diseases and Dangerous Occurrences Regulations 2013 (RIDDOR), and Glasgow City Council Education Services procedures.</w:t>
      </w:r>
    </w:p>
    <w:p>
      <w:pPr>
        <w:pStyle w:val="Heading1"/>
      </w:pPr>
      <w:r>
        <w:rPr>
          <w:b/>
          <w:i w:val="0"/>
          <w:color w:val="0F5376"/>
          <w:sz w:val="26"/>
        </w:rPr>
        <w:t>2  First aid provision</w:t>
      </w:r>
    </w:p>
    <w:p>
      <w:pPr>
        <w:spacing w:after="140"/>
        <w:spacing w:line="276" w:lineRule="auto"/>
      </w:pPr>
      <w:r>
        <w:rPr>
          <w:b w:val="0"/>
          <w:i w:val="0"/>
          <w:sz w:val="20"/>
        </w:rPr>
        <w:t>The school maintains a sufficient number of staff holding a current Emergency First Aid at Work certificate, with at least one qualified first aider available at all times during the school day, including at breaks and lunchtime. The list of trained first aiders is displayed in the office, the staff room and the dining hall, and is updated whenever certification changes. Certificates are valid for three years and renewal is tracked by the office.</w:t>
      </w:r>
    </w:p>
    <w:p>
      <w:pPr>
        <w:spacing w:after="140"/>
        <w:spacing w:line="276" w:lineRule="auto"/>
      </w:pPr>
      <w:r>
        <w:rPr>
          <w:b w:val="0"/>
          <w:i w:val="0"/>
          <w:sz w:val="20"/>
        </w:rPr>
        <w:t>First aid kits are held in the school office, the dining hall, the gym hall and the nursery, and portable kits are taken on every educational excursion. Clerical staff check and restock kits each term. Staff must not give any medication as first aid; medication is handled only under the Administration of Medication Policy.</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If you are unsure how serious an injury is, treat it as serious. Call for a first aider and do not move the child unless leaving them where they are would cause further harm.</w:t>
            </w:r>
          </w:p>
        </w:tc>
      </w:tr>
    </w:tbl>
    <w:p>
      <w:pPr>
        <w:spacing w:after="200"/>
      </w:pPr>
    </w:p>
    <w:p>
      <w:pPr>
        <w:pStyle w:val="Heading1"/>
      </w:pPr>
      <w:r>
        <w:rPr>
          <w:b/>
          <w:i w:val="0"/>
          <w:color w:val="0F5376"/>
          <w:sz w:val="26"/>
        </w:rPr>
        <w:t>3  What to do when a child is hurt</w:t>
      </w:r>
    </w:p>
    <w:p>
      <w:pPr>
        <w:spacing w:after="80"/>
        <w:spacing w:line="276" w:lineRule="auto"/>
        <w:ind w:left="360" w:hanging="360"/>
      </w:pPr>
      <w:r>
        <w:rPr>
          <w:b/>
          <w:i w:val="0"/>
          <w:color w:val="0F5376"/>
          <w:sz w:val="20"/>
        </w:rPr>
        <w:t xml:space="preserve">1.  </w:t>
      </w:r>
      <w:r>
        <w:rPr>
          <w:b w:val="0"/>
          <w:i w:val="0"/>
          <w:sz w:val="20"/>
        </w:rPr>
        <w:t>Make the area safe and stay with the child. Send another adult or a sensible child for a first aider.</w:t>
      </w:r>
    </w:p>
    <w:p>
      <w:pPr>
        <w:spacing w:after="80"/>
        <w:spacing w:line="276" w:lineRule="auto"/>
        <w:ind w:left="360" w:hanging="360"/>
      </w:pPr>
      <w:r>
        <w:rPr>
          <w:b/>
          <w:i w:val="0"/>
          <w:color w:val="0F5376"/>
          <w:sz w:val="20"/>
        </w:rPr>
        <w:t xml:space="preserve">2.  </w:t>
      </w:r>
      <w:r>
        <w:rPr>
          <w:b w:val="0"/>
          <w:i w:val="0"/>
          <w:sz w:val="20"/>
        </w:rPr>
        <w:t>A qualified first aider assesses and treats. Wear gloves where there is any blood or body fluid.</w:t>
      </w:r>
    </w:p>
    <w:p>
      <w:pPr>
        <w:spacing w:after="80"/>
        <w:spacing w:line="276" w:lineRule="auto"/>
        <w:ind w:left="360" w:hanging="360"/>
      </w:pPr>
      <w:r>
        <w:rPr>
          <w:b/>
          <w:i w:val="0"/>
          <w:color w:val="0F5376"/>
          <w:sz w:val="20"/>
        </w:rPr>
        <w:t xml:space="preserve">3.  </w:t>
      </w:r>
      <w:r>
        <w:rPr>
          <w:b w:val="0"/>
          <w:i w:val="0"/>
          <w:sz w:val="20"/>
        </w:rPr>
        <w:t>For anything more than a minor injury, or any bump to the head, inform the office immediately.</w:t>
      </w:r>
    </w:p>
    <w:p>
      <w:pPr>
        <w:spacing w:after="80"/>
        <w:spacing w:line="276" w:lineRule="auto"/>
        <w:ind w:left="360" w:hanging="360"/>
      </w:pPr>
      <w:r>
        <w:rPr>
          <w:b/>
          <w:i w:val="0"/>
          <w:color w:val="0F5376"/>
          <w:sz w:val="20"/>
        </w:rPr>
        <w:t xml:space="preserve">4.  </w:t>
      </w:r>
      <w:r>
        <w:rPr>
          <w:b w:val="0"/>
          <w:i w:val="0"/>
          <w:sz w:val="20"/>
        </w:rPr>
        <w:t>For a serious injury, call 999 first and the office second. Do not delay an ambulance to find a manager.</w:t>
      </w:r>
    </w:p>
    <w:p>
      <w:pPr>
        <w:spacing w:after="80"/>
        <w:spacing w:line="276" w:lineRule="auto"/>
        <w:ind w:left="360" w:hanging="360"/>
      </w:pPr>
      <w:r>
        <w:rPr>
          <w:b/>
          <w:i w:val="0"/>
          <w:color w:val="0F5376"/>
          <w:sz w:val="20"/>
        </w:rPr>
        <w:t xml:space="preserve">5.  </w:t>
      </w:r>
      <w:r>
        <w:rPr>
          <w:b w:val="0"/>
          <w:i w:val="0"/>
          <w:sz w:val="20"/>
        </w:rPr>
        <w:t>The office contacts the parent or carer. Head injuries are always communicated the same day, by phone.</w:t>
      </w:r>
    </w:p>
    <w:p>
      <w:pPr>
        <w:spacing w:after="80"/>
        <w:spacing w:line="276" w:lineRule="auto"/>
        <w:ind w:left="360" w:hanging="360"/>
      </w:pPr>
      <w:r>
        <w:rPr>
          <w:b/>
          <w:i w:val="0"/>
          <w:color w:val="0F5376"/>
          <w:sz w:val="20"/>
        </w:rPr>
        <w:t xml:space="preserve">6.  </w:t>
      </w:r>
      <w:r>
        <w:rPr>
          <w:b w:val="0"/>
          <w:i w:val="0"/>
          <w:sz w:val="20"/>
        </w:rPr>
        <w:t>Record the injury and the treatment given on the accident record before the end of the day.</w:t>
      </w:r>
    </w:p>
    <w:p>
      <w:pPr>
        <w:spacing w:after="80"/>
        <w:spacing w:line="276" w:lineRule="auto"/>
        <w:ind w:left="360" w:hanging="360"/>
      </w:pPr>
      <w:r>
        <w:rPr>
          <w:b/>
          <w:i w:val="0"/>
          <w:color w:val="0F5376"/>
          <w:sz w:val="20"/>
        </w:rPr>
        <w:t xml:space="preserve">7.  </w:t>
      </w:r>
      <w:r>
        <w:rPr>
          <w:b w:val="0"/>
          <w:i w:val="0"/>
          <w:sz w:val="20"/>
        </w:rPr>
        <w:t>Clean and disinfect the area, and dispose of dressings and gloves as clinical waste.</w:t>
      </w:r>
    </w:p>
    <w:p>
      <w:pPr>
        <w:spacing w:after="60"/>
      </w:pPr>
    </w:p>
    <w:p>
      <w:pPr>
        <w:pStyle w:val="Heading1"/>
      </w:pPr>
      <w:r>
        <w:rPr>
          <w:b/>
          <w:i w:val="0"/>
          <w:color w:val="0F5376"/>
          <w:sz w:val="26"/>
        </w:rPr>
        <w:t>4  Head injuries</w:t>
      </w:r>
    </w:p>
    <w:p>
      <w:pPr>
        <w:spacing w:after="140"/>
        <w:spacing w:line="276" w:lineRule="auto"/>
      </w:pPr>
      <w:r>
        <w:rPr>
          <w:b w:val="0"/>
          <w:i w:val="0"/>
          <w:sz w:val="20"/>
        </w:rPr>
        <w:t>Any bump to the head is treated seriously regardless of how minor it appears. The child is assessed by a first aider, monitored, and not returned to the playground for the remainder of that break. Parents or carers are always contacted by telephone the same day, and a head injury letter is issued setting out the signs to watch for at home. Where a child has lost consciousness, vomited, is drowsy, or the injury resulted from a significant fall or blow, we call 999 and contact the parent immediately.</w:t>
      </w:r>
    </w:p>
    <w:p>
      <w:pPr>
        <w:pStyle w:val="Heading1"/>
      </w:pPr>
      <w:r>
        <w:rPr>
          <w:b/>
          <w:i w:val="0"/>
          <w:color w:val="0F5376"/>
          <w:sz w:val="26"/>
        </w:rPr>
        <w:t>5  Recording and reporting</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3213"/>
        <w:gridCol w:w="3213"/>
        <w:gridCol w:w="3213"/>
      </w:tblGrid>
      <w:tr>
        <w:trPr>
          <w:cantSplit/>
          <w:tblHeader/>
        </w:trPr>
        <w:tc>
          <w:tcPr>
            <w:tcW w:type="dxa" w:w="2891"/>
            <w:shd w:val="clear" w:color="auto" w:fill="0F5376"/>
            <w:tcMar>
              <w:top w:w="100" w:type="dxa"/>
              <w:left w:w="140" w:type="dxa"/>
              <w:bottom w:w="100" w:type="dxa"/>
              <w:right w:w="140" w:type="dxa"/>
            </w:tcMar>
          </w:tcPr>
          <w:p>
            <w:pPr>
              <w:spacing w:before="20" w:after="0"/>
              <w:spacing w:line="264" w:lineRule="auto"/>
            </w:pPr>
            <w:r/>
            <w:r>
              <w:rPr>
                <w:b/>
                <w:i w:val="0"/>
                <w:color w:val="FFFFFF"/>
                <w:sz w:val="20"/>
              </w:rPr>
              <w:t>Event</w:t>
            </w:r>
          </w:p>
        </w:tc>
        <w:tc>
          <w:tcPr>
            <w:tcW w:type="dxa" w:w="3855"/>
            <w:shd w:val="clear" w:color="auto" w:fill="0F5376"/>
            <w:tcMar>
              <w:top w:w="100" w:type="dxa"/>
              <w:left w:w="140" w:type="dxa"/>
              <w:bottom w:w="100" w:type="dxa"/>
              <w:right w:w="140" w:type="dxa"/>
            </w:tcMar>
          </w:tcPr>
          <w:p>
            <w:pPr>
              <w:spacing w:before="20" w:after="0"/>
              <w:spacing w:line="264" w:lineRule="auto"/>
            </w:pPr>
            <w:r/>
            <w:r>
              <w:rPr>
                <w:b/>
                <w:i w:val="0"/>
                <w:color w:val="FFFFFF"/>
                <w:sz w:val="20"/>
              </w:rPr>
              <w:t>Record</w:t>
            </w:r>
          </w:p>
        </w:tc>
        <w:tc>
          <w:tcPr>
            <w:tcW w:type="dxa" w:w="2891"/>
            <w:shd w:val="clear" w:color="auto" w:fill="0F5376"/>
            <w:tcMar>
              <w:top w:w="100" w:type="dxa"/>
              <w:left w:w="140" w:type="dxa"/>
              <w:bottom w:w="100" w:type="dxa"/>
              <w:right w:w="140" w:type="dxa"/>
            </w:tcMar>
          </w:tcPr>
          <w:p>
            <w:pPr>
              <w:spacing w:before="20" w:after="0"/>
              <w:spacing w:line="264" w:lineRule="auto"/>
            </w:pPr>
            <w:r/>
            <w:r>
              <w:rPr>
                <w:b/>
                <w:i w:val="0"/>
                <w:color w:val="FFFFFF"/>
                <w:sz w:val="20"/>
              </w:rPr>
              <w:t>Escalation</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Minor injury treated on site</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Accident record completed by the treating adult the same day.</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None, unless a pattern emerges.</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injury of any kind</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Accident record, plus a note that the parent was telephoned and a head injury letter issued.</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Teacher informed the same day.</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Injury requiring hospital treatment or an ambulance</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Full accident record with a written account from every adult present.</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Teacher immediately; Glasgow City Council incident report within 24 hours.</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Injury to a member of staff, contractor or visitor</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Accident record and a council incident report.</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Teacher immediately; RIDDOR assessment.</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Near miss or dangerous occurrence</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Near miss record with a note of the action taken.</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Teacher, who reviews the relevant risk assessment.</w:t>
            </w:r>
          </w:p>
        </w:tc>
      </w:tr>
      <w:tr>
        <w:trPr>
          <w:cantSplit/>
        </w:trPr>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Injury arising from another person’s conduct</w:t>
            </w:r>
          </w:p>
        </w:tc>
        <w:tc>
          <w:tcPr>
            <w:tcW w:type="dxa" w:w="3855"/>
            <w:shd w:val="clear" w:color="auto" w:fill="FFFFFF"/>
            <w:tcMar>
              <w:top w:w="110" w:type="dxa"/>
              <w:left w:w="140" w:type="dxa"/>
              <w:bottom w:w="110" w:type="dxa"/>
              <w:right w:w="140" w:type="dxa"/>
            </w:tcMar>
          </w:tcPr>
          <w:p>
            <w:pPr>
              <w:spacing w:before="20" w:after="0"/>
              <w:spacing w:line="264" w:lineRule="auto"/>
            </w:pPr>
            <w:r/>
            <w:r>
              <w:rPr>
                <w:b w:val="0"/>
                <w:i w:val="0"/>
                <w:sz w:val="20"/>
              </w:rPr>
              <w:t>Accident record, plus a behaviour or child protection record as appropriate.</w:t>
            </w:r>
          </w:p>
        </w:tc>
        <w:tc>
          <w:tcPr>
            <w:tcW w:type="dxa" w:w="2891"/>
            <w:shd w:val="clear" w:color="auto" w:fill="FFFFFF"/>
            <w:tcMar>
              <w:top w:w="110" w:type="dxa"/>
              <w:left w:w="140" w:type="dxa"/>
              <w:bottom w:w="110" w:type="dxa"/>
              <w:right w:w="140" w:type="dxa"/>
            </w:tcMar>
          </w:tcPr>
          <w:p>
            <w:pPr>
              <w:spacing w:before="20" w:after="0"/>
              <w:spacing w:line="264" w:lineRule="auto"/>
            </w:pPr>
            <w:r/>
            <w:r>
              <w:rPr>
                <w:b w:val="0"/>
                <w:i w:val="0"/>
                <w:sz w:val="20"/>
              </w:rPr>
              <w:t>Head Teacher immediately.</w:t>
            </w:r>
          </w:p>
        </w:tc>
      </w:tr>
    </w:tbl>
    <w:p>
      <w:pPr>
        <w:spacing w:after="200"/>
      </w:pPr>
    </w:p>
    <w:p>
      <w:pPr>
        <w:spacing w:after="140"/>
        <w:spacing w:line="276" w:lineRule="auto"/>
      </w:pPr>
      <w:r>
        <w:rPr>
          <w:b w:val="0"/>
          <w:i w:val="0"/>
          <w:sz w:val="20"/>
        </w:rPr>
        <w:t>RIDDOR-reportable events include a death, specified serious injuries, an injury to a member of staff resulting in more than seven days off work, and an injury to a child arising from the way the school is run or from its equipment where the child is taken directly to hospital. The Head Teacher makes the assessment with advice from Glasgow City Council and the council makes the report.</w:t>
      </w:r>
    </w:p>
    <w:p>
      <w:pPr>
        <w:pStyle w:val="Heading1"/>
      </w:pPr>
      <w:r>
        <w:rPr>
          <w:b/>
          <w:i w:val="0"/>
          <w:color w:val="0F5376"/>
          <w:sz w:val="26"/>
        </w:rPr>
        <w:t>6  Infection control and body fluids</w:t>
      </w:r>
    </w:p>
    <w:p>
      <w:pPr>
        <w:spacing w:after="140"/>
        <w:spacing w:line="276" w:lineRule="auto"/>
      </w:pPr>
      <w:r>
        <w:rPr>
          <w:b w:val="0"/>
          <w:i w:val="0"/>
          <w:sz w:val="20"/>
        </w:rPr>
        <w:t>Gloves and aprons are worn for any contact with blood, vomit or other body fluids, and spillages are cleared using the body fluid kit and disposed of as clinical waste. Detailed arrangements, including exclusion periods for infectious illness, are set out in the Allergy, Anaphylaxis and Infection Control Policy.</w:t>
      </w:r>
    </w:p>
    <w:p>
      <w:pPr>
        <w:pStyle w:val="Heading1"/>
      </w:pPr>
      <w:r>
        <w:rPr>
          <w:b/>
          <w:i w:val="0"/>
          <w:color w:val="0F5376"/>
          <w:sz w:val="26"/>
        </w:rPr>
        <w:t>7  Monitoring and review</w:t>
      </w:r>
    </w:p>
    <w:p>
      <w:pPr>
        <w:spacing w:after="140"/>
        <w:spacing w:line="276" w:lineRule="auto"/>
      </w:pPr>
      <w:r>
        <w:rPr>
          <w:b w:val="0"/>
          <w:i w:val="0"/>
          <w:sz w:val="20"/>
        </w:rPr>
        <w:t>The Head Teacher reviews accident and near miss records each term. Where injuries cluster in a particular place, activity or time, the relevant risk assessment is revisited and the arrangements changed. Findings are reported to staff so that everyone knows what has been learned. This policy is reviewed by June 2029.</w:t>
      </w:r>
    </w:p>
    <w:p>
      <w:pPr>
        <w:spacing w:after="140"/>
        <w:spacing w:line="276" w:lineRule="auto"/>
      </w:pPr>
      <w:r>
        <w:rPr>
          <w:b w:val="0"/>
          <w:i w:val="0"/>
          <w:sz w:val="20"/>
        </w:rPr>
        <w:t>Linked policies: Health and Safety; Administration of Medication; Allergy, Anaphylaxis and Infection Control; Child Protection and Safeguarding; Educational Excursions and Visits; Playground Supervision and Wet Weather.</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First Aid, Accidents and Incident Reporting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