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4CCD" w14:textId="0C3BA7E3" w:rsidR="0038591A" w:rsidRPr="00676FB2" w:rsidRDefault="00676FB2" w:rsidP="00676F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Balmerino and Wormit </w:t>
      </w:r>
      <w:r w:rsidRPr="00676FB2">
        <w:rPr>
          <w:b/>
          <w:bCs/>
          <w:u w:val="single"/>
        </w:rPr>
        <w:t>EYO Role Profile Self-Evaluation Tool</w:t>
      </w:r>
    </w:p>
    <w:p w14:paraId="59455BFA" w14:textId="2573316F" w:rsidR="00676FB2" w:rsidRDefault="00676FB2" w:rsidP="00676FB2">
      <w:pPr>
        <w:spacing w:after="0" w:line="240" w:lineRule="auto"/>
        <w:textAlignment w:val="baseline"/>
      </w:pPr>
      <w:r>
        <w:t xml:space="preserve">This tool is designed to help you self-assess against your Role Profile.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You do not have to use all parts and you do not have to submit the finished version to the headteacher. It is here as a tool to inform your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self evaluation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ahead of your PRD meeting.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It can be used alongside the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self evaluation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tool</w:t>
      </w:r>
      <w:r>
        <w:rPr>
          <w:rFonts w:ascii="Calibri" w:eastAsia="Times New Roman" w:hAnsi="Calibri" w:cs="Calibri"/>
          <w:sz w:val="24"/>
          <w:szCs w:val="24"/>
          <w:lang w:eastAsia="en-GB"/>
        </w:rPr>
        <w:t>kit for wellbeing and teamwork.</w:t>
      </w:r>
    </w:p>
    <w:p w14:paraId="1E523DD3" w14:textId="77777777" w:rsidR="00676FB2" w:rsidRDefault="00676FB2" w:rsidP="00676FB2">
      <w:pPr>
        <w:jc w:val="center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676FB2" w14:paraId="152850EB" w14:textId="77777777" w:rsidTr="00676FB2">
        <w:tc>
          <w:tcPr>
            <w:tcW w:w="3964" w:type="dxa"/>
          </w:tcPr>
          <w:p w14:paraId="541A8A1D" w14:textId="77777777" w:rsidR="00676FB2" w:rsidRDefault="00676FB2" w:rsidP="00676FB2">
            <w:r>
              <w:t>Aspect of Role Profile</w:t>
            </w:r>
          </w:p>
        </w:tc>
        <w:tc>
          <w:tcPr>
            <w:tcW w:w="6521" w:type="dxa"/>
          </w:tcPr>
          <w:p w14:paraId="193158CC" w14:textId="77777777" w:rsidR="00676FB2" w:rsidRDefault="00676FB2" w:rsidP="00676FB2">
            <w:pPr>
              <w:jc w:val="center"/>
            </w:pPr>
            <w:r>
              <w:t>Notes (optional)</w:t>
            </w:r>
          </w:p>
        </w:tc>
      </w:tr>
      <w:tr w:rsidR="00676FB2" w14:paraId="46CB9530" w14:textId="77777777" w:rsidTr="00676FB2">
        <w:tc>
          <w:tcPr>
            <w:tcW w:w="3964" w:type="dxa"/>
          </w:tcPr>
          <w:p w14:paraId="780ACADE" w14:textId="77777777" w:rsidR="00676FB2" w:rsidRDefault="00676FB2" w:rsidP="00676FB2">
            <w:r w:rsidRPr="00676FB2">
              <w:t xml:space="preserve">Experience of working with children 3 to 5 years of age </w:t>
            </w:r>
          </w:p>
        </w:tc>
        <w:tc>
          <w:tcPr>
            <w:tcW w:w="6521" w:type="dxa"/>
          </w:tcPr>
          <w:p w14:paraId="5115A79A" w14:textId="77777777" w:rsidR="00676FB2" w:rsidRDefault="00676FB2" w:rsidP="00676FB2">
            <w:pPr>
              <w:jc w:val="center"/>
            </w:pPr>
          </w:p>
        </w:tc>
      </w:tr>
      <w:tr w:rsidR="00676FB2" w14:paraId="02E035CC" w14:textId="77777777" w:rsidTr="00676FB2">
        <w:tc>
          <w:tcPr>
            <w:tcW w:w="3964" w:type="dxa"/>
          </w:tcPr>
          <w:p w14:paraId="0B272EE7" w14:textId="77777777" w:rsidR="00676FB2" w:rsidRDefault="00676FB2" w:rsidP="00676FB2">
            <w:r w:rsidRPr="00676FB2">
              <w:t>Experience of working with children under 3 years</w:t>
            </w:r>
          </w:p>
        </w:tc>
        <w:tc>
          <w:tcPr>
            <w:tcW w:w="6521" w:type="dxa"/>
          </w:tcPr>
          <w:p w14:paraId="793F0CEF" w14:textId="77777777" w:rsidR="00676FB2" w:rsidRDefault="00676FB2" w:rsidP="00676FB2">
            <w:pPr>
              <w:jc w:val="center"/>
            </w:pPr>
          </w:p>
        </w:tc>
      </w:tr>
      <w:tr w:rsidR="00676FB2" w14:paraId="7A615389" w14:textId="77777777" w:rsidTr="00676FB2">
        <w:tc>
          <w:tcPr>
            <w:tcW w:w="3964" w:type="dxa"/>
          </w:tcPr>
          <w:p w14:paraId="6E7C8815" w14:textId="4C29AD3D" w:rsidR="00676FB2" w:rsidRDefault="00676FB2" w:rsidP="00676FB2">
            <w:r w:rsidRPr="00676FB2">
              <w:rPr>
                <w:b/>
                <w:bCs/>
              </w:rPr>
              <w:t>Experience of writing reports and children’s records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>Observing and assessing children and recording of their progress.</w:t>
            </w:r>
            <w:r>
              <w:t xml:space="preserve"> </w:t>
            </w:r>
            <w:r w:rsidRPr="00676FB2">
              <w:t>Completing and maintaining Personal Learning Journey for a keyworker group, sharing observations and contributing to discussions about each individual child’s progress.</w:t>
            </w:r>
            <w:r>
              <w:t xml:space="preserve"> </w:t>
            </w:r>
            <w:r w:rsidRPr="00676FB2">
              <w:t>Recording and reporting on concerns regularly, contributing to children’s personal plans (IEPs) or other files, where appropriate.</w:t>
            </w:r>
            <w:r>
              <w:t xml:space="preserve"> </w:t>
            </w:r>
            <w:r w:rsidRPr="00676FB2">
              <w:t>Evaluating progress against identified priorities (including regular planning) and participating in activities which support evaluation of the establishment’s work.</w:t>
            </w:r>
          </w:p>
        </w:tc>
        <w:tc>
          <w:tcPr>
            <w:tcW w:w="6521" w:type="dxa"/>
          </w:tcPr>
          <w:p w14:paraId="3A7D7795" w14:textId="77777777" w:rsidR="00676FB2" w:rsidRDefault="00676FB2" w:rsidP="00676FB2">
            <w:pPr>
              <w:jc w:val="center"/>
            </w:pPr>
          </w:p>
        </w:tc>
      </w:tr>
      <w:tr w:rsidR="00676FB2" w14:paraId="493C6E74" w14:textId="77777777" w:rsidTr="00676FB2">
        <w:tc>
          <w:tcPr>
            <w:tcW w:w="3964" w:type="dxa"/>
          </w:tcPr>
          <w:p w14:paraId="02CEA8C2" w14:textId="77777777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Curriculum for Excellence</w:t>
            </w:r>
          </w:p>
        </w:tc>
        <w:tc>
          <w:tcPr>
            <w:tcW w:w="6521" w:type="dxa"/>
          </w:tcPr>
          <w:p w14:paraId="4D2CC2DD" w14:textId="77777777" w:rsidR="00676FB2" w:rsidRDefault="00676FB2" w:rsidP="00676FB2">
            <w:pPr>
              <w:jc w:val="center"/>
            </w:pPr>
          </w:p>
        </w:tc>
      </w:tr>
      <w:tr w:rsidR="00676FB2" w14:paraId="2ABA18BA" w14:textId="77777777" w:rsidTr="00676FB2">
        <w:tc>
          <w:tcPr>
            <w:tcW w:w="3964" w:type="dxa"/>
          </w:tcPr>
          <w:p w14:paraId="2E6644A3" w14:textId="77777777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the Birth to Three curriculum and relevant training</w:t>
            </w:r>
          </w:p>
        </w:tc>
        <w:tc>
          <w:tcPr>
            <w:tcW w:w="6521" w:type="dxa"/>
          </w:tcPr>
          <w:p w14:paraId="2463FBA8" w14:textId="77777777" w:rsidR="00676FB2" w:rsidRDefault="00676FB2" w:rsidP="00676FB2">
            <w:pPr>
              <w:jc w:val="center"/>
            </w:pPr>
          </w:p>
        </w:tc>
      </w:tr>
      <w:tr w:rsidR="00676FB2" w14:paraId="7DBDA213" w14:textId="77777777" w:rsidTr="00676FB2">
        <w:tc>
          <w:tcPr>
            <w:tcW w:w="3964" w:type="dxa"/>
          </w:tcPr>
          <w:p w14:paraId="40534FFE" w14:textId="16808D25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Building</w:t>
            </w:r>
            <w:r w:rsidRPr="00676FB2">
              <w:rPr>
                <w:b/>
                <w:bCs/>
              </w:rPr>
              <w:t>/Realising</w:t>
            </w:r>
            <w:r w:rsidRPr="00676FB2">
              <w:rPr>
                <w:b/>
                <w:bCs/>
              </w:rPr>
              <w:t xml:space="preserve"> the Ambition</w:t>
            </w:r>
          </w:p>
        </w:tc>
        <w:tc>
          <w:tcPr>
            <w:tcW w:w="6521" w:type="dxa"/>
          </w:tcPr>
          <w:p w14:paraId="5730947F" w14:textId="77777777" w:rsidR="00676FB2" w:rsidRDefault="00676FB2" w:rsidP="00676FB2">
            <w:pPr>
              <w:jc w:val="center"/>
            </w:pPr>
          </w:p>
        </w:tc>
      </w:tr>
      <w:tr w:rsidR="00676FB2" w14:paraId="4E203EC1" w14:textId="77777777" w:rsidTr="00676FB2">
        <w:tc>
          <w:tcPr>
            <w:tcW w:w="3964" w:type="dxa"/>
          </w:tcPr>
          <w:p w14:paraId="6EFFC037" w14:textId="77777777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ICT skills</w:t>
            </w:r>
          </w:p>
        </w:tc>
        <w:tc>
          <w:tcPr>
            <w:tcW w:w="6521" w:type="dxa"/>
          </w:tcPr>
          <w:p w14:paraId="647DEDFF" w14:textId="77777777" w:rsidR="00676FB2" w:rsidRDefault="00676FB2" w:rsidP="00676FB2">
            <w:pPr>
              <w:jc w:val="center"/>
            </w:pPr>
          </w:p>
        </w:tc>
      </w:tr>
      <w:tr w:rsidR="00676FB2" w14:paraId="0D6C5492" w14:textId="77777777" w:rsidTr="00676FB2">
        <w:tc>
          <w:tcPr>
            <w:tcW w:w="3964" w:type="dxa"/>
          </w:tcPr>
          <w:p w14:paraId="46145A43" w14:textId="1B98A0A7" w:rsidR="00676FB2" w:rsidRPr="00676FB2" w:rsidRDefault="00676FB2" w:rsidP="00676FB2">
            <w:r w:rsidRPr="00676FB2">
              <w:rPr>
                <w:b/>
                <w:bCs/>
              </w:rPr>
              <w:t>Experience working with a range of support agencies to support children and families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>Experience of working with vulnerable children and families</w:t>
            </w:r>
            <w:r>
              <w:t xml:space="preserve">. </w:t>
            </w:r>
            <w:r w:rsidRPr="00676FB2">
              <w:t>Promoting equality and awareness of cultural diversity, ensuring that every child experiences a fair and friendly environment.</w:t>
            </w:r>
            <w:r>
              <w:t xml:space="preserve"> </w:t>
            </w:r>
            <w:r w:rsidRPr="00676FB2">
              <w:t>Promoting and valuing each child and supporting their welfare, including their personal, social and emotional wellbeing.</w:t>
            </w:r>
          </w:p>
        </w:tc>
        <w:tc>
          <w:tcPr>
            <w:tcW w:w="6521" w:type="dxa"/>
          </w:tcPr>
          <w:p w14:paraId="15D7A89D" w14:textId="77777777" w:rsidR="00676FB2" w:rsidRDefault="00676FB2" w:rsidP="00676FB2">
            <w:pPr>
              <w:jc w:val="center"/>
            </w:pPr>
          </w:p>
        </w:tc>
      </w:tr>
      <w:tr w:rsidR="00676FB2" w14:paraId="3E116107" w14:textId="77777777" w:rsidTr="00676FB2">
        <w:tc>
          <w:tcPr>
            <w:tcW w:w="3964" w:type="dxa"/>
          </w:tcPr>
          <w:p w14:paraId="0FF52E19" w14:textId="77777777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Getting it Right for Every Child (GIRFEC)</w:t>
            </w:r>
          </w:p>
        </w:tc>
        <w:tc>
          <w:tcPr>
            <w:tcW w:w="6521" w:type="dxa"/>
          </w:tcPr>
          <w:p w14:paraId="4BF62C61" w14:textId="77777777" w:rsidR="00676FB2" w:rsidRDefault="00676FB2" w:rsidP="00676FB2">
            <w:pPr>
              <w:jc w:val="center"/>
            </w:pPr>
          </w:p>
        </w:tc>
      </w:tr>
      <w:tr w:rsidR="00676FB2" w14:paraId="4207DC43" w14:textId="77777777" w:rsidTr="00676FB2">
        <w:tc>
          <w:tcPr>
            <w:tcW w:w="3964" w:type="dxa"/>
          </w:tcPr>
          <w:p w14:paraId="3BC41093" w14:textId="391829DF" w:rsidR="00676FB2" w:rsidRPr="00676FB2" w:rsidRDefault="00676FB2" w:rsidP="00676FB2">
            <w:r w:rsidRPr="00676FB2">
              <w:rPr>
                <w:b/>
                <w:bCs/>
              </w:rPr>
              <w:t xml:space="preserve">Knowledge of </w:t>
            </w:r>
            <w:r w:rsidRPr="00676FB2">
              <w:rPr>
                <w:b/>
                <w:bCs/>
              </w:rPr>
              <w:t>hygiene procedures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>Carrying out personal care/cleaning tasks approximating to the home care of nursery age children.</w:t>
            </w:r>
            <w:r>
              <w:t xml:space="preserve"> </w:t>
            </w:r>
            <w:r w:rsidRPr="00676FB2">
              <w:t>Looking after the physical needs of children, including escorting duties, where appropriate.</w:t>
            </w:r>
          </w:p>
        </w:tc>
        <w:tc>
          <w:tcPr>
            <w:tcW w:w="6521" w:type="dxa"/>
          </w:tcPr>
          <w:p w14:paraId="6BBCB8BB" w14:textId="77777777" w:rsidR="00676FB2" w:rsidRDefault="00676FB2" w:rsidP="00676FB2">
            <w:pPr>
              <w:jc w:val="center"/>
            </w:pPr>
          </w:p>
        </w:tc>
      </w:tr>
      <w:tr w:rsidR="00676FB2" w14:paraId="0AD1E900" w14:textId="77777777" w:rsidTr="00676FB2">
        <w:tc>
          <w:tcPr>
            <w:tcW w:w="3964" w:type="dxa"/>
          </w:tcPr>
          <w:p w14:paraId="4299D9C5" w14:textId="5617EC8A" w:rsidR="00676FB2" w:rsidRPr="00676FB2" w:rsidRDefault="00676FB2" w:rsidP="00676FB2">
            <w:r w:rsidRPr="00676FB2">
              <w:rPr>
                <w:b/>
                <w:bCs/>
              </w:rPr>
              <w:lastRenderedPageBreak/>
              <w:t>Knowledge of How Good is Our Early Learning and Childcare (HGIOELC)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>Contributing to team meetings and to the evaluation of the work of the service.</w:t>
            </w:r>
            <w:r w:rsidRPr="00676FB2">
              <w:t xml:space="preserve"> </w:t>
            </w:r>
            <w:r w:rsidRPr="00676FB2">
              <w:t>Knowledge of improvement methodology</w:t>
            </w:r>
          </w:p>
        </w:tc>
        <w:tc>
          <w:tcPr>
            <w:tcW w:w="6521" w:type="dxa"/>
          </w:tcPr>
          <w:p w14:paraId="234435D5" w14:textId="77777777" w:rsidR="00676FB2" w:rsidRDefault="00676FB2" w:rsidP="00676FB2">
            <w:pPr>
              <w:jc w:val="center"/>
            </w:pPr>
          </w:p>
        </w:tc>
      </w:tr>
      <w:tr w:rsidR="00676FB2" w14:paraId="38DE677A" w14:textId="77777777" w:rsidTr="00676FB2">
        <w:tc>
          <w:tcPr>
            <w:tcW w:w="3964" w:type="dxa"/>
          </w:tcPr>
          <w:p w14:paraId="0043D083" w14:textId="4BEB3534" w:rsidR="00676FB2" w:rsidRPr="00676FB2" w:rsidRDefault="00676FB2" w:rsidP="00676FB2">
            <w:r w:rsidRPr="00676FB2">
              <w:rPr>
                <w:b/>
                <w:bCs/>
              </w:rPr>
              <w:t xml:space="preserve">Communication </w:t>
            </w:r>
            <w:r w:rsidRPr="00676FB2">
              <w:rPr>
                <w:b/>
                <w:bCs/>
              </w:rPr>
              <w:t xml:space="preserve">and </w:t>
            </w:r>
            <w:r w:rsidRPr="00676FB2">
              <w:rPr>
                <w:b/>
                <w:bCs/>
              </w:rPr>
              <w:t>Initiative taking skills</w:t>
            </w:r>
            <w:r w:rsidRPr="00676FB2">
              <w:rPr>
                <w:b/>
                <w:bCs/>
              </w:rPr>
              <w:t>:</w:t>
            </w:r>
            <w:r>
              <w:t xml:space="preserve"> </w:t>
            </w:r>
            <w:r w:rsidRPr="00676FB2">
              <w:t>Establishing positive working relationships with other staff, parents, carers and children, including where appropriate home visiting.</w:t>
            </w:r>
            <w:r>
              <w:t xml:space="preserve"> </w:t>
            </w:r>
            <w:r w:rsidRPr="00676FB2">
              <w:t>Conducting parent/carer interviews in respect of a range of issues, e.g. advice and support, reporting on progress.</w:t>
            </w:r>
            <w:r>
              <w:t xml:space="preserve"> </w:t>
            </w:r>
            <w:r w:rsidRPr="00676FB2">
              <w:t>Liaising with parents on day-to-day matters concerning their children’s welfare and development.</w:t>
            </w:r>
            <w:r>
              <w:t xml:space="preserve"> </w:t>
            </w:r>
            <w:r w:rsidRPr="00676FB2">
              <w:t>Offering appropriate guidance and support, working with groups of parents on various issues e.g. supporting quality parenting.</w:t>
            </w:r>
            <w:r>
              <w:t xml:space="preserve"> </w:t>
            </w:r>
            <w:r w:rsidRPr="00676FB2">
              <w:t>Liaising with and developing positive and productive relationships with professionals from a wide range of agencies, including health and social care. Contributing to joint reports, review meetings or case conferences as appropriate.</w:t>
            </w:r>
            <w:r>
              <w:t xml:space="preserve"> </w:t>
            </w:r>
            <w:r w:rsidRPr="00676FB2">
              <w:t>Liaising with staff working at other stages in Education or in other locations and services, to promote continuity for children at points of transition.</w:t>
            </w:r>
            <w:r>
              <w:t xml:space="preserve"> </w:t>
            </w:r>
            <w:r w:rsidRPr="00676FB2">
              <w:t>Working with staff both within and beyond the establishment and to promote the development of children and their families.</w:t>
            </w:r>
          </w:p>
        </w:tc>
        <w:tc>
          <w:tcPr>
            <w:tcW w:w="6521" w:type="dxa"/>
          </w:tcPr>
          <w:p w14:paraId="44A2E956" w14:textId="77777777" w:rsidR="00676FB2" w:rsidRDefault="00676FB2" w:rsidP="00676FB2">
            <w:pPr>
              <w:jc w:val="center"/>
            </w:pPr>
          </w:p>
        </w:tc>
      </w:tr>
      <w:tr w:rsidR="00676FB2" w14:paraId="3CCEDDCC" w14:textId="77777777" w:rsidTr="00676FB2">
        <w:tc>
          <w:tcPr>
            <w:tcW w:w="3964" w:type="dxa"/>
          </w:tcPr>
          <w:p w14:paraId="23448207" w14:textId="0AC6911E" w:rsidR="00676FB2" w:rsidRPr="00676FB2" w:rsidRDefault="00676FB2" w:rsidP="00676FB2">
            <w:r w:rsidRPr="00676FB2">
              <w:rPr>
                <w:b/>
                <w:bCs/>
              </w:rPr>
              <w:t>Experience of working with parents and supporting or leading information sharing sessions on a range of topics/issues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 xml:space="preserve">Additional training in programmes e.g. PEEP, Incredible Years, </w:t>
            </w:r>
            <w:proofErr w:type="spellStart"/>
            <w:r w:rsidRPr="00676FB2">
              <w:t>Bookbug</w:t>
            </w:r>
            <w:proofErr w:type="spellEnd"/>
            <w:r w:rsidRPr="00676FB2">
              <w:t>, Play Away</w:t>
            </w:r>
            <w:r>
              <w:t xml:space="preserve">. </w:t>
            </w:r>
            <w:r w:rsidRPr="00676FB2">
              <w:t>Promoting parental participation and effective partnerships with parents and the community.</w:t>
            </w:r>
            <w:r>
              <w:t xml:space="preserve"> </w:t>
            </w:r>
            <w:r w:rsidRPr="00676FB2">
              <w:t>Experience of leading workshops particularly for parents and colleagues</w:t>
            </w:r>
            <w:r>
              <w:t>.</w:t>
            </w:r>
          </w:p>
        </w:tc>
        <w:tc>
          <w:tcPr>
            <w:tcW w:w="6521" w:type="dxa"/>
          </w:tcPr>
          <w:p w14:paraId="163CFD52" w14:textId="77777777" w:rsidR="00676FB2" w:rsidRDefault="00676FB2" w:rsidP="00676FB2">
            <w:pPr>
              <w:jc w:val="center"/>
            </w:pPr>
          </w:p>
        </w:tc>
      </w:tr>
      <w:tr w:rsidR="00676FB2" w14:paraId="38C7FF09" w14:textId="77777777" w:rsidTr="00676FB2">
        <w:trPr>
          <w:trHeight w:val="1611"/>
        </w:trPr>
        <w:tc>
          <w:tcPr>
            <w:tcW w:w="3964" w:type="dxa"/>
          </w:tcPr>
          <w:p w14:paraId="7DC3469B" w14:textId="06E6ED2C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Experience of establishing learning areas</w:t>
            </w:r>
            <w:r w:rsidRPr="00676FB2">
              <w:rPr>
                <w:b/>
                <w:bCs/>
              </w:rPr>
              <w:t>.</w:t>
            </w:r>
          </w:p>
          <w:p w14:paraId="47158609" w14:textId="2B36DBA1" w:rsidR="00676FB2" w:rsidRPr="00676FB2" w:rsidRDefault="00676FB2" w:rsidP="00676FB2">
            <w:r w:rsidRPr="00676FB2">
              <w:t>Experience of identifying appropriate resources to extend learning</w:t>
            </w:r>
            <w:r>
              <w:t xml:space="preserve">. </w:t>
            </w:r>
            <w:r w:rsidRPr="00676FB2">
              <w:t>Contributing to a wide range of learning activities (e.g. out of establishment visits), and the achievement of appropriate learning outcomes.</w:t>
            </w:r>
            <w:r>
              <w:t xml:space="preserve"> </w:t>
            </w:r>
            <w:r w:rsidRPr="00676FB2">
              <w:t xml:space="preserve">Supporting the achievement of appropriate learning outcomes for each child including planning and recording </w:t>
            </w:r>
            <w:r w:rsidRPr="00676FB2">
              <w:lastRenderedPageBreak/>
              <w:t>activities for individual children to extend their learning experience.</w:t>
            </w:r>
            <w:r>
              <w:t xml:space="preserve"> </w:t>
            </w:r>
            <w:r w:rsidRPr="00676FB2">
              <w:t>Interacting effectively and enthusiastically with children, motivating and engaging them in learning activities appropriate to their needs.</w:t>
            </w:r>
            <w:r>
              <w:t xml:space="preserve"> </w:t>
            </w:r>
            <w:r w:rsidRPr="00676FB2">
              <w:t>Supporting children’s participation in learning experiences appropriate to their needs.</w:t>
            </w:r>
            <w:r>
              <w:t xml:space="preserve"> </w:t>
            </w:r>
            <w:r w:rsidRPr="00676FB2">
              <w:t>Preparing, monitoring and maintaining resources to provide a safe, stimulating learning environment on a day to day basis. Where necessary carrying out daily checks and to request new resources to replace faulty or damaged items.</w:t>
            </w:r>
          </w:p>
        </w:tc>
        <w:tc>
          <w:tcPr>
            <w:tcW w:w="6521" w:type="dxa"/>
          </w:tcPr>
          <w:p w14:paraId="1FC3E229" w14:textId="77777777" w:rsidR="00676FB2" w:rsidRDefault="00676FB2" w:rsidP="00676FB2">
            <w:pPr>
              <w:jc w:val="center"/>
            </w:pPr>
          </w:p>
        </w:tc>
      </w:tr>
      <w:tr w:rsidR="00676FB2" w14:paraId="3A22FCB0" w14:textId="77777777" w:rsidTr="00676FB2">
        <w:tc>
          <w:tcPr>
            <w:tcW w:w="3964" w:type="dxa"/>
          </w:tcPr>
          <w:p w14:paraId="427193D1" w14:textId="7F443BB8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child development birth to 5 years</w:t>
            </w:r>
            <w:r w:rsidRPr="00676FB2">
              <w:rPr>
                <w:b/>
                <w:bCs/>
              </w:rPr>
              <w:t xml:space="preserve">: </w:t>
            </w:r>
            <w:r w:rsidRPr="00676FB2">
              <w:t>Contributing effectively to the delivery of the early year’s curriculum.</w:t>
            </w:r>
          </w:p>
        </w:tc>
        <w:tc>
          <w:tcPr>
            <w:tcW w:w="6521" w:type="dxa"/>
          </w:tcPr>
          <w:p w14:paraId="1A4091B8" w14:textId="77777777" w:rsidR="00676FB2" w:rsidRDefault="00676FB2" w:rsidP="00676FB2">
            <w:pPr>
              <w:jc w:val="center"/>
            </w:pPr>
          </w:p>
        </w:tc>
      </w:tr>
      <w:tr w:rsidR="00676FB2" w14:paraId="449EEF01" w14:textId="77777777" w:rsidTr="00676FB2">
        <w:tc>
          <w:tcPr>
            <w:tcW w:w="3964" w:type="dxa"/>
          </w:tcPr>
          <w:p w14:paraId="47CD35B2" w14:textId="35331F1E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Knowledge of attachment theory</w:t>
            </w:r>
          </w:p>
        </w:tc>
        <w:tc>
          <w:tcPr>
            <w:tcW w:w="6521" w:type="dxa"/>
          </w:tcPr>
          <w:p w14:paraId="2691DB83" w14:textId="77777777" w:rsidR="00676FB2" w:rsidRDefault="00676FB2" w:rsidP="00676FB2">
            <w:pPr>
              <w:jc w:val="center"/>
            </w:pPr>
          </w:p>
        </w:tc>
      </w:tr>
      <w:tr w:rsidR="00676FB2" w14:paraId="32D1BD29" w14:textId="77777777" w:rsidTr="00676FB2">
        <w:tc>
          <w:tcPr>
            <w:tcW w:w="3964" w:type="dxa"/>
          </w:tcPr>
          <w:p w14:paraId="76FDB588" w14:textId="20D8CE69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Listening and de-escalation skills</w:t>
            </w:r>
          </w:p>
        </w:tc>
        <w:tc>
          <w:tcPr>
            <w:tcW w:w="6521" w:type="dxa"/>
          </w:tcPr>
          <w:p w14:paraId="7E2A2B72" w14:textId="77777777" w:rsidR="00676FB2" w:rsidRDefault="00676FB2" w:rsidP="00676FB2">
            <w:pPr>
              <w:jc w:val="center"/>
            </w:pPr>
          </w:p>
        </w:tc>
      </w:tr>
      <w:tr w:rsidR="00676FB2" w14:paraId="0FB2ECFD" w14:textId="77777777" w:rsidTr="00676FB2">
        <w:tc>
          <w:tcPr>
            <w:tcW w:w="3964" w:type="dxa"/>
          </w:tcPr>
          <w:p w14:paraId="55DD53B1" w14:textId="6DD7A555" w:rsidR="00676FB2" w:rsidRPr="00676FB2" w:rsidRDefault="00676FB2" w:rsidP="00676FB2">
            <w:r w:rsidRPr="00676FB2">
              <w:rPr>
                <w:b/>
                <w:bCs/>
              </w:rPr>
              <w:t>Experience of providing advice and information concerning access to appropriate support agencies</w:t>
            </w:r>
            <w:r w:rsidRPr="00676FB2">
              <w:rPr>
                <w:b/>
                <w:bCs/>
              </w:rPr>
              <w:t>.</w:t>
            </w:r>
            <w:r>
              <w:t xml:space="preserve"> </w:t>
            </w:r>
            <w:r w:rsidRPr="00676FB2">
              <w:t>Dealing with a wide range of parents/carers and to respond appropriately to challenging situations, or to support families in crisis.</w:t>
            </w:r>
          </w:p>
        </w:tc>
        <w:tc>
          <w:tcPr>
            <w:tcW w:w="6521" w:type="dxa"/>
          </w:tcPr>
          <w:p w14:paraId="26E08DF6" w14:textId="77777777" w:rsidR="00676FB2" w:rsidRDefault="00676FB2" w:rsidP="00676FB2">
            <w:pPr>
              <w:jc w:val="center"/>
            </w:pPr>
          </w:p>
        </w:tc>
      </w:tr>
      <w:tr w:rsidR="00676FB2" w14:paraId="5E46E4F7" w14:textId="77777777" w:rsidTr="00676FB2">
        <w:tc>
          <w:tcPr>
            <w:tcW w:w="3964" w:type="dxa"/>
          </w:tcPr>
          <w:p w14:paraId="5A32DBEA" w14:textId="055677F7" w:rsidR="00676FB2" w:rsidRPr="00676FB2" w:rsidRDefault="00676FB2" w:rsidP="00676FB2">
            <w:r w:rsidRPr="00676FB2">
              <w:rPr>
                <w:b/>
                <w:bCs/>
              </w:rPr>
              <w:t xml:space="preserve">Additional knowledge and training </w:t>
            </w:r>
            <w:r w:rsidRPr="00676FB2">
              <w:t>e.g. food hygiene, moving and handling, child first ai</w:t>
            </w:r>
            <w:r>
              <w:t xml:space="preserve">d. </w:t>
            </w:r>
            <w:r w:rsidRPr="00676FB2">
              <w:t>Applying relevant health and safety regulations.eg; food handling, basic first aid.</w:t>
            </w:r>
          </w:p>
        </w:tc>
        <w:tc>
          <w:tcPr>
            <w:tcW w:w="6521" w:type="dxa"/>
          </w:tcPr>
          <w:p w14:paraId="6C2B902C" w14:textId="77777777" w:rsidR="00676FB2" w:rsidRDefault="00676FB2" w:rsidP="00676FB2">
            <w:pPr>
              <w:jc w:val="center"/>
            </w:pPr>
          </w:p>
        </w:tc>
      </w:tr>
      <w:tr w:rsidR="00676FB2" w14:paraId="0EF6EC78" w14:textId="77777777" w:rsidTr="00676FB2">
        <w:tc>
          <w:tcPr>
            <w:tcW w:w="3964" w:type="dxa"/>
          </w:tcPr>
          <w:p w14:paraId="24B3CBD2" w14:textId="5690138F" w:rsidR="00676FB2" w:rsidRPr="00676FB2" w:rsidRDefault="00676FB2" w:rsidP="00676FB2">
            <w:r w:rsidRPr="00676FB2">
              <w:rPr>
                <w:b/>
                <w:bCs/>
              </w:rPr>
              <w:t>Cash Handling and Numeracy Skills:</w:t>
            </w:r>
            <w:r>
              <w:t xml:space="preserve"> </w:t>
            </w:r>
            <w:r w:rsidRPr="00676FB2">
              <w:t>Regular cash handling of petty cash/funds and maintain records of expenditure/receipts for the purpose of purchasing snack and small purchases to enhance learning outcomes</w:t>
            </w:r>
          </w:p>
        </w:tc>
        <w:tc>
          <w:tcPr>
            <w:tcW w:w="6521" w:type="dxa"/>
          </w:tcPr>
          <w:p w14:paraId="209F0105" w14:textId="77777777" w:rsidR="00676FB2" w:rsidRDefault="00676FB2" w:rsidP="00676FB2">
            <w:pPr>
              <w:jc w:val="center"/>
            </w:pPr>
          </w:p>
        </w:tc>
      </w:tr>
      <w:tr w:rsidR="00676FB2" w14:paraId="3B7B92D1" w14:textId="77777777" w:rsidTr="00676FB2">
        <w:tc>
          <w:tcPr>
            <w:tcW w:w="3964" w:type="dxa"/>
          </w:tcPr>
          <w:p w14:paraId="4B82B1E1" w14:textId="363FE80C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Contributing to the support and training of students, parent helpers and volunteers and provide basic advice and support to pupil support assistants, as required.</w:t>
            </w:r>
          </w:p>
        </w:tc>
        <w:tc>
          <w:tcPr>
            <w:tcW w:w="6521" w:type="dxa"/>
          </w:tcPr>
          <w:p w14:paraId="6FEEE95D" w14:textId="77777777" w:rsidR="00676FB2" w:rsidRDefault="00676FB2" w:rsidP="00676FB2">
            <w:pPr>
              <w:jc w:val="center"/>
            </w:pPr>
          </w:p>
        </w:tc>
      </w:tr>
      <w:tr w:rsidR="00676FB2" w14:paraId="0AD0C9AF" w14:textId="77777777" w:rsidTr="00676FB2">
        <w:tc>
          <w:tcPr>
            <w:tcW w:w="3964" w:type="dxa"/>
          </w:tcPr>
          <w:p w14:paraId="316B8A72" w14:textId="167061AE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 xml:space="preserve">Taking </w:t>
            </w:r>
            <w:r w:rsidRPr="00676FB2">
              <w:rPr>
                <w:b/>
                <w:bCs/>
              </w:rPr>
              <w:t xml:space="preserve">responsibility for promoting and safeguarding the welfare of people </w:t>
            </w:r>
            <w:r w:rsidRPr="00676FB2">
              <w:rPr>
                <w:b/>
                <w:bCs/>
              </w:rPr>
              <w:t>you</w:t>
            </w:r>
            <w:r w:rsidRPr="00676FB2">
              <w:rPr>
                <w:b/>
                <w:bCs/>
              </w:rPr>
              <w:t xml:space="preserve"> provid</w:t>
            </w:r>
            <w:r w:rsidRPr="00676FB2">
              <w:rPr>
                <w:b/>
                <w:bCs/>
              </w:rPr>
              <w:t>e</w:t>
            </w:r>
            <w:r w:rsidRPr="00676FB2">
              <w:rPr>
                <w:b/>
                <w:bCs/>
              </w:rPr>
              <w:t xml:space="preserve"> support or care for or comes into contact with.</w:t>
            </w:r>
          </w:p>
        </w:tc>
        <w:tc>
          <w:tcPr>
            <w:tcW w:w="6521" w:type="dxa"/>
          </w:tcPr>
          <w:p w14:paraId="05AAF6F5" w14:textId="77777777" w:rsidR="00676FB2" w:rsidRDefault="00676FB2" w:rsidP="00676FB2">
            <w:pPr>
              <w:jc w:val="center"/>
            </w:pPr>
          </w:p>
        </w:tc>
      </w:tr>
      <w:tr w:rsidR="00676FB2" w14:paraId="38DE1161" w14:textId="77777777" w:rsidTr="00676FB2">
        <w:tc>
          <w:tcPr>
            <w:tcW w:w="3964" w:type="dxa"/>
          </w:tcPr>
          <w:p w14:paraId="5F07413F" w14:textId="5056AE8C" w:rsidR="00676FB2" w:rsidRPr="00676FB2" w:rsidRDefault="00676FB2" w:rsidP="00676FB2">
            <w:pPr>
              <w:rPr>
                <w:b/>
                <w:bCs/>
              </w:rPr>
            </w:pPr>
            <w:r w:rsidRPr="00676FB2">
              <w:rPr>
                <w:b/>
                <w:bCs/>
              </w:rPr>
              <w:t>Every council employee is expected to lead the way by making decisions and behaving in ways that uphold our community commitments and values.</w:t>
            </w:r>
          </w:p>
        </w:tc>
        <w:tc>
          <w:tcPr>
            <w:tcW w:w="6521" w:type="dxa"/>
          </w:tcPr>
          <w:p w14:paraId="345EEE05" w14:textId="77777777" w:rsidR="00676FB2" w:rsidRDefault="00676FB2" w:rsidP="00676FB2">
            <w:pPr>
              <w:jc w:val="center"/>
            </w:pPr>
          </w:p>
        </w:tc>
      </w:tr>
    </w:tbl>
    <w:p w14:paraId="22F18E58" w14:textId="77777777" w:rsidR="00676FB2" w:rsidRDefault="00676FB2" w:rsidP="00676FB2">
      <w:pPr>
        <w:jc w:val="center"/>
      </w:pPr>
    </w:p>
    <w:sectPr w:rsidR="00676FB2" w:rsidSect="00676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2"/>
    <w:rsid w:val="0038591A"/>
    <w:rsid w:val="005817FF"/>
    <w:rsid w:val="00676FB2"/>
    <w:rsid w:val="00950605"/>
    <w:rsid w:val="00B3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5A38"/>
  <w15:chartTrackingRefBased/>
  <w15:docId w15:val="{FAFCE6B3-8F56-42EC-9E05-D2310CC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F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1</cp:revision>
  <dcterms:created xsi:type="dcterms:W3CDTF">2025-07-24T10:33:00Z</dcterms:created>
  <dcterms:modified xsi:type="dcterms:W3CDTF">2025-07-24T11:06:00Z</dcterms:modified>
</cp:coreProperties>
</file>