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365"/>
      </w:tblGrid>
      <w:tr w:rsidR="00A74CCD" w:rsidRPr="00400782" w14:paraId="0D713ADC" w14:textId="77777777" w:rsidTr="00903691">
        <w:trPr>
          <w:trHeight w:val="555"/>
        </w:trPr>
        <w:tc>
          <w:tcPr>
            <w:tcW w:w="7645" w:type="dxa"/>
            <w:gridSpan w:val="2"/>
            <w:tcBorders>
              <w:top w:val="double" w:sz="12" w:space="0" w:color="auto"/>
              <w:left w:val="double" w:sz="12" w:space="0" w:color="auto"/>
              <w:bottom w:val="single" w:sz="6" w:space="0" w:color="auto"/>
              <w:right w:val="single" w:sz="6" w:space="0" w:color="auto"/>
            </w:tcBorders>
            <w:shd w:val="clear" w:color="auto" w:fill="auto"/>
            <w:vAlign w:val="center"/>
            <w:hideMark/>
          </w:tcPr>
          <w:p w14:paraId="1035F41C" w14:textId="77777777" w:rsidR="00A74CCD" w:rsidRPr="00400782" w:rsidRDefault="00A74CCD" w:rsidP="0090369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color w:val="000000"/>
                <w:sz w:val="28"/>
                <w:szCs w:val="28"/>
                <w:lang w:eastAsia="en-GB"/>
              </w:rPr>
              <w:t>Pupil Equity Fund allocation for session 202</w:t>
            </w:r>
            <w:r>
              <w:rPr>
                <w:rFonts w:ascii="Arial" w:eastAsia="Times New Roman" w:hAnsi="Arial" w:cs="Arial"/>
                <w:b/>
                <w:bCs/>
                <w:color w:val="000000"/>
                <w:sz w:val="28"/>
                <w:szCs w:val="28"/>
                <w:lang w:eastAsia="en-GB"/>
              </w:rPr>
              <w:t>5</w:t>
            </w:r>
            <w:r w:rsidRPr="00400782">
              <w:rPr>
                <w:rFonts w:ascii="Arial" w:eastAsia="Times New Roman" w:hAnsi="Arial" w:cs="Arial"/>
                <w:b/>
                <w:bCs/>
                <w:color w:val="000000"/>
                <w:sz w:val="28"/>
                <w:szCs w:val="28"/>
                <w:lang w:eastAsia="en-GB"/>
              </w:rPr>
              <w:t>/2</w:t>
            </w:r>
            <w:r>
              <w:rPr>
                <w:rFonts w:ascii="Arial" w:eastAsia="Times New Roman" w:hAnsi="Arial" w:cs="Arial"/>
                <w:b/>
                <w:bCs/>
                <w:color w:val="000000"/>
                <w:sz w:val="28"/>
                <w:szCs w:val="28"/>
                <w:lang w:eastAsia="en-GB"/>
              </w:rPr>
              <w:t>6</w:t>
            </w:r>
          </w:p>
        </w:tc>
        <w:tc>
          <w:tcPr>
            <w:tcW w:w="7365" w:type="dxa"/>
            <w:tcBorders>
              <w:top w:val="double" w:sz="12" w:space="0" w:color="auto"/>
              <w:left w:val="single" w:sz="6" w:space="0" w:color="auto"/>
              <w:bottom w:val="single" w:sz="6" w:space="0" w:color="auto"/>
              <w:right w:val="double" w:sz="12" w:space="0" w:color="auto"/>
            </w:tcBorders>
            <w:shd w:val="clear" w:color="auto" w:fill="auto"/>
            <w:vAlign w:val="center"/>
            <w:hideMark/>
          </w:tcPr>
          <w:p w14:paraId="00E28767" w14:textId="332B7266" w:rsidR="00A74CCD" w:rsidRPr="00400782" w:rsidRDefault="00A74CCD" w:rsidP="0090369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color w:val="000000"/>
                <w:sz w:val="28"/>
                <w:szCs w:val="28"/>
                <w:lang w:eastAsia="en-GB"/>
              </w:rPr>
              <w:t>£</w:t>
            </w:r>
            <w:r w:rsidRPr="00400782">
              <w:rPr>
                <w:rFonts w:ascii="Arial" w:eastAsia="Times New Roman" w:hAnsi="Arial" w:cs="Arial"/>
                <w:color w:val="000000"/>
                <w:sz w:val="28"/>
                <w:szCs w:val="28"/>
                <w:lang w:eastAsia="en-GB"/>
              </w:rPr>
              <w:t> </w:t>
            </w:r>
            <w:r w:rsidRPr="003E7A47">
              <w:rPr>
                <w:rFonts w:ascii="Aptos" w:hAnsi="Aptos"/>
                <w:bCs/>
                <w:color w:val="000000" w:themeColor="text1"/>
              </w:rPr>
              <w:t>78,840</w:t>
            </w:r>
            <w:r w:rsidR="00CA40CE">
              <w:rPr>
                <w:rFonts w:ascii="Aptos" w:hAnsi="Aptos"/>
                <w:bCs/>
                <w:color w:val="000000" w:themeColor="text1"/>
              </w:rPr>
              <w:t xml:space="preserve"> </w:t>
            </w:r>
            <w:r w:rsidR="00DD0048">
              <w:rPr>
                <w:rFonts w:ascii="Aptos" w:hAnsi="Aptos"/>
                <w:bCs/>
                <w:color w:val="000000" w:themeColor="text1"/>
              </w:rPr>
              <w:t>(this includes £33</w:t>
            </w:r>
            <w:r w:rsidR="00560F75">
              <w:rPr>
                <w:rFonts w:ascii="Aptos" w:hAnsi="Aptos"/>
                <w:bCs/>
                <w:color w:val="000000" w:themeColor="text1"/>
              </w:rPr>
              <w:t>,083</w:t>
            </w:r>
            <w:r w:rsidR="00DD0048">
              <w:rPr>
                <w:rFonts w:ascii="Aptos" w:hAnsi="Aptos"/>
                <w:bCs/>
                <w:color w:val="000000" w:themeColor="text1"/>
              </w:rPr>
              <w:t xml:space="preserve"> used in Term 4 of 24/25 – see 24/25 PEF plan for details of projects)</w:t>
            </w:r>
          </w:p>
        </w:tc>
      </w:tr>
      <w:tr w:rsidR="00A74CCD" w:rsidRPr="00400782" w14:paraId="2F044143" w14:textId="77777777" w:rsidTr="00903691">
        <w:trPr>
          <w:trHeight w:val="555"/>
        </w:trPr>
        <w:tc>
          <w:tcPr>
            <w:tcW w:w="15010"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14:paraId="4BEBC57E" w14:textId="77777777" w:rsidR="00A74CCD" w:rsidRPr="00400782" w:rsidRDefault="00A74CCD" w:rsidP="0090369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School Context (copied from SIP)</w:t>
            </w:r>
            <w:r w:rsidRPr="00400782">
              <w:rPr>
                <w:rFonts w:ascii="Arial" w:eastAsia="Times New Roman" w:hAnsi="Arial" w:cs="Arial"/>
                <w:sz w:val="28"/>
                <w:szCs w:val="28"/>
                <w:lang w:eastAsia="en-GB"/>
              </w:rPr>
              <w:t> </w:t>
            </w:r>
          </w:p>
        </w:tc>
      </w:tr>
      <w:tr w:rsidR="00A74CCD" w:rsidRPr="00400782" w14:paraId="643A82C5" w14:textId="77777777" w:rsidTr="00A74CCD">
        <w:trPr>
          <w:trHeight w:val="1113"/>
        </w:trPr>
        <w:tc>
          <w:tcPr>
            <w:tcW w:w="15010" w:type="dxa"/>
            <w:gridSpan w:val="3"/>
            <w:tcBorders>
              <w:top w:val="single" w:sz="6" w:space="0" w:color="auto"/>
              <w:left w:val="double" w:sz="12" w:space="0" w:color="auto"/>
              <w:bottom w:val="double" w:sz="12" w:space="0" w:color="auto"/>
              <w:right w:val="double" w:sz="12" w:space="0" w:color="auto"/>
            </w:tcBorders>
            <w:shd w:val="clear" w:color="auto" w:fill="auto"/>
            <w:hideMark/>
          </w:tcPr>
          <w:p w14:paraId="46F220D0" w14:textId="77777777" w:rsidR="00A74CCD" w:rsidRPr="00081165" w:rsidRDefault="00A74CCD" w:rsidP="00A74CCD">
            <w:pPr>
              <w:spacing w:after="0" w:line="240" w:lineRule="auto"/>
              <w:rPr>
                <w:rFonts w:ascii="Arial" w:hAnsi="Arial" w:cs="Arial"/>
                <w:sz w:val="22"/>
                <w:szCs w:val="22"/>
              </w:rPr>
            </w:pPr>
            <w:r w:rsidRPr="00400782">
              <w:rPr>
                <w:rFonts w:ascii="Arial" w:eastAsia="Times New Roman" w:hAnsi="Arial" w:cs="Arial"/>
                <w:color w:val="000000"/>
                <w:sz w:val="28"/>
                <w:szCs w:val="28"/>
                <w:lang w:eastAsia="en-GB"/>
              </w:rPr>
              <w:t> </w:t>
            </w:r>
            <w:r w:rsidRPr="00081165">
              <w:rPr>
                <w:rFonts w:ascii="Arial" w:hAnsi="Arial" w:cs="Arial"/>
                <w:sz w:val="22"/>
                <w:szCs w:val="22"/>
              </w:rPr>
              <w:t>Roll – 230 pupils in school and 55 in nursery</w:t>
            </w:r>
          </w:p>
          <w:p w14:paraId="51E1A7F3" w14:textId="77777777" w:rsidR="00A74CCD" w:rsidRPr="00081165" w:rsidRDefault="00A74CCD" w:rsidP="00A74CCD">
            <w:pPr>
              <w:spacing w:after="0" w:line="240" w:lineRule="auto"/>
              <w:rPr>
                <w:rFonts w:ascii="Arial" w:hAnsi="Arial" w:cs="Arial"/>
                <w:sz w:val="22"/>
                <w:szCs w:val="22"/>
              </w:rPr>
            </w:pPr>
            <w:r w:rsidRPr="00081165">
              <w:rPr>
                <w:rFonts w:ascii="Arial" w:hAnsi="Arial" w:cs="Arial"/>
                <w:sz w:val="22"/>
                <w:szCs w:val="22"/>
              </w:rPr>
              <w:t xml:space="preserve"> FME – 31.7%</w:t>
            </w:r>
          </w:p>
          <w:p w14:paraId="58F4EDB1" w14:textId="77777777" w:rsidR="00A74CCD" w:rsidRPr="00081165" w:rsidRDefault="00A74CCD" w:rsidP="00A74CCD">
            <w:pPr>
              <w:spacing w:after="0" w:line="240" w:lineRule="auto"/>
              <w:rPr>
                <w:rFonts w:ascii="Arial" w:hAnsi="Arial" w:cs="Arial"/>
                <w:sz w:val="22"/>
                <w:szCs w:val="22"/>
              </w:rPr>
            </w:pPr>
            <w:r w:rsidRPr="00081165">
              <w:rPr>
                <w:rFonts w:ascii="Arial" w:hAnsi="Arial" w:cs="Arial"/>
                <w:sz w:val="22"/>
                <w:szCs w:val="22"/>
              </w:rPr>
              <w:t xml:space="preserve"> SIMD Profile – 51.3% of pupils lives in </w:t>
            </w:r>
            <w:proofErr w:type="spellStart"/>
            <w:r w:rsidRPr="00081165">
              <w:rPr>
                <w:rFonts w:ascii="Arial" w:hAnsi="Arial" w:cs="Arial"/>
                <w:sz w:val="22"/>
                <w:szCs w:val="22"/>
              </w:rPr>
              <w:t>SIMd</w:t>
            </w:r>
            <w:proofErr w:type="spellEnd"/>
            <w:r w:rsidRPr="00081165">
              <w:rPr>
                <w:rFonts w:ascii="Arial" w:hAnsi="Arial" w:cs="Arial"/>
                <w:sz w:val="22"/>
                <w:szCs w:val="22"/>
              </w:rPr>
              <w:t xml:space="preserve"> 1 and 2; 30.8% of pupils live in </w:t>
            </w:r>
            <w:proofErr w:type="spellStart"/>
            <w:r w:rsidRPr="00081165">
              <w:rPr>
                <w:rFonts w:ascii="Arial" w:hAnsi="Arial" w:cs="Arial"/>
                <w:sz w:val="22"/>
                <w:szCs w:val="22"/>
              </w:rPr>
              <w:t>SIMd</w:t>
            </w:r>
            <w:proofErr w:type="spellEnd"/>
            <w:r w:rsidRPr="00081165">
              <w:rPr>
                <w:rFonts w:ascii="Arial" w:hAnsi="Arial" w:cs="Arial"/>
                <w:sz w:val="22"/>
                <w:szCs w:val="22"/>
              </w:rPr>
              <w:t xml:space="preserve"> 9 and 10; 17.8% of pupils live in </w:t>
            </w:r>
            <w:proofErr w:type="spellStart"/>
            <w:r w:rsidRPr="00081165">
              <w:rPr>
                <w:rFonts w:ascii="Arial" w:hAnsi="Arial" w:cs="Arial"/>
                <w:sz w:val="22"/>
                <w:szCs w:val="22"/>
              </w:rPr>
              <w:t>SIMd</w:t>
            </w:r>
            <w:proofErr w:type="spellEnd"/>
            <w:r w:rsidRPr="00081165">
              <w:rPr>
                <w:rFonts w:ascii="Arial" w:hAnsi="Arial" w:cs="Arial"/>
                <w:sz w:val="22"/>
                <w:szCs w:val="22"/>
              </w:rPr>
              <w:t xml:space="preserve"> 3-8</w:t>
            </w:r>
          </w:p>
          <w:p w14:paraId="059FF34B" w14:textId="77777777" w:rsidR="00A74CCD" w:rsidRPr="00081165" w:rsidRDefault="00A74CCD" w:rsidP="00A74CCD">
            <w:pPr>
              <w:spacing w:after="0" w:line="240" w:lineRule="auto"/>
              <w:rPr>
                <w:rFonts w:ascii="Arial" w:hAnsi="Arial" w:cs="Arial"/>
                <w:sz w:val="22"/>
                <w:szCs w:val="22"/>
              </w:rPr>
            </w:pPr>
          </w:p>
          <w:p w14:paraId="33C11C97" w14:textId="77777777" w:rsidR="00A74CCD" w:rsidRPr="00081165" w:rsidRDefault="00A74CCD" w:rsidP="00A74CCD">
            <w:pPr>
              <w:autoSpaceDE w:val="0"/>
              <w:autoSpaceDN w:val="0"/>
              <w:adjustRightInd w:val="0"/>
              <w:spacing w:line="240" w:lineRule="auto"/>
              <w:rPr>
                <w:rFonts w:ascii="Arial" w:hAnsi="Arial" w:cs="Arial"/>
                <w:noProof/>
                <w:color w:val="000000" w:themeColor="text1"/>
                <w:sz w:val="22"/>
                <w:szCs w:val="22"/>
              </w:rPr>
            </w:pPr>
            <w:r w:rsidRPr="00081165">
              <w:rPr>
                <w:rFonts w:ascii="Arial" w:hAnsi="Arial" w:cs="Arial"/>
                <w:noProof/>
                <w:color w:val="000000" w:themeColor="text1"/>
                <w:sz w:val="22"/>
                <w:szCs w:val="22"/>
              </w:rPr>
              <w:t xml:space="preserve">Our school and nursery vision is </w:t>
            </w:r>
            <w:r w:rsidRPr="00081165">
              <w:rPr>
                <w:rFonts w:ascii="Arial" w:hAnsi="Arial" w:cs="Arial"/>
                <w:b/>
                <w:noProof/>
                <w:color w:val="000000" w:themeColor="text1"/>
                <w:sz w:val="22"/>
                <w:szCs w:val="22"/>
              </w:rPr>
              <w:t>‘Touch School and Nursery, A Community with Learning at its Heart: Built on Connection and Relationships</w:t>
            </w:r>
            <w:r w:rsidRPr="00081165">
              <w:rPr>
                <w:rFonts w:ascii="Arial" w:hAnsi="Arial" w:cs="Arial"/>
                <w:noProof/>
                <w:color w:val="000000" w:themeColor="text1"/>
                <w:sz w:val="22"/>
                <w:szCs w:val="22"/>
              </w:rPr>
              <w:t xml:space="preserve">.’ This was last reviewed with all stakeholders in 2023. We have four school values: </w:t>
            </w:r>
            <w:r w:rsidRPr="00081165">
              <w:rPr>
                <w:rFonts w:ascii="Arial" w:hAnsi="Arial" w:cs="Arial"/>
                <w:b/>
                <w:noProof/>
                <w:color w:val="000000" w:themeColor="text1"/>
                <w:sz w:val="22"/>
                <w:szCs w:val="22"/>
              </w:rPr>
              <w:t>Honesty, Aspiration, Respect and Kindness</w:t>
            </w:r>
            <w:r w:rsidRPr="00081165">
              <w:rPr>
                <w:rFonts w:ascii="Arial" w:hAnsi="Arial" w:cs="Arial"/>
                <w:noProof/>
                <w:color w:val="000000" w:themeColor="text1"/>
                <w:sz w:val="22"/>
                <w:szCs w:val="22"/>
              </w:rPr>
              <w:t>. Everything we do and say is based on these values. Children, families and staff are all well aware of these values and our actions relating to these.</w:t>
            </w:r>
          </w:p>
          <w:p w14:paraId="1272A6B3" w14:textId="77777777" w:rsidR="00A74CCD" w:rsidRPr="00081165" w:rsidRDefault="00A74CCD" w:rsidP="00A74CCD">
            <w:pPr>
              <w:autoSpaceDE w:val="0"/>
              <w:autoSpaceDN w:val="0"/>
              <w:adjustRightInd w:val="0"/>
              <w:spacing w:line="240" w:lineRule="auto"/>
              <w:rPr>
                <w:rFonts w:ascii="Arial" w:hAnsi="Arial" w:cs="Arial"/>
                <w:noProof/>
                <w:color w:val="000000" w:themeColor="text1"/>
                <w:sz w:val="22"/>
                <w:szCs w:val="22"/>
              </w:rPr>
            </w:pPr>
            <w:r w:rsidRPr="00081165">
              <w:rPr>
                <w:rFonts w:ascii="Arial" w:hAnsi="Arial" w:cs="Arial"/>
                <w:noProof/>
                <w:color w:val="000000" w:themeColor="text1"/>
                <w:sz w:val="22"/>
                <w:szCs w:val="22"/>
              </w:rPr>
              <w:t>Our aims are:</w:t>
            </w:r>
          </w:p>
          <w:p w14:paraId="5371CC56" w14:textId="77777777" w:rsidR="00A74CCD" w:rsidRPr="00081165" w:rsidRDefault="00A74CCD" w:rsidP="00A74CCD">
            <w:pPr>
              <w:numPr>
                <w:ilvl w:val="0"/>
                <w:numId w:val="1"/>
              </w:numPr>
              <w:autoSpaceDE w:val="0"/>
              <w:autoSpaceDN w:val="0"/>
              <w:adjustRightInd w:val="0"/>
              <w:spacing w:after="0" w:line="240" w:lineRule="auto"/>
              <w:rPr>
                <w:rFonts w:ascii="Arial" w:hAnsi="Arial" w:cs="Arial"/>
                <w:noProof/>
                <w:color w:val="000000" w:themeColor="text1"/>
                <w:sz w:val="22"/>
                <w:szCs w:val="22"/>
              </w:rPr>
            </w:pPr>
            <w:r w:rsidRPr="00081165">
              <w:rPr>
                <w:rFonts w:ascii="Arial" w:hAnsi="Arial" w:cs="Arial"/>
                <w:noProof/>
                <w:color w:val="000000" w:themeColor="text1"/>
                <w:sz w:val="22"/>
                <w:szCs w:val="22"/>
              </w:rPr>
              <w:t xml:space="preserve">To provide </w:t>
            </w:r>
            <w:r w:rsidRPr="00081165">
              <w:rPr>
                <w:rFonts w:ascii="Arial" w:hAnsi="Arial" w:cs="Arial"/>
                <w:b/>
                <w:bCs/>
                <w:noProof/>
                <w:color w:val="000000" w:themeColor="text1"/>
                <w:sz w:val="22"/>
                <w:szCs w:val="22"/>
              </w:rPr>
              <w:t>an ethos</w:t>
            </w:r>
            <w:r w:rsidRPr="00081165">
              <w:rPr>
                <w:rFonts w:ascii="Arial" w:hAnsi="Arial" w:cs="Arial"/>
                <w:noProof/>
                <w:color w:val="000000" w:themeColor="text1"/>
                <w:sz w:val="22"/>
                <w:szCs w:val="22"/>
              </w:rPr>
              <w:t xml:space="preserve"> where everyone in our school community is valued and happy as their </w:t>
            </w:r>
            <w:r w:rsidRPr="00081165">
              <w:rPr>
                <w:rFonts w:ascii="Arial" w:hAnsi="Arial" w:cs="Arial"/>
                <w:b/>
                <w:bCs/>
                <w:noProof/>
                <w:color w:val="000000" w:themeColor="text1"/>
                <w:sz w:val="22"/>
                <w:szCs w:val="22"/>
              </w:rPr>
              <w:t>wellbeing needs</w:t>
            </w:r>
            <w:r w:rsidRPr="00081165">
              <w:rPr>
                <w:rFonts w:ascii="Arial" w:hAnsi="Arial" w:cs="Arial"/>
                <w:noProof/>
                <w:color w:val="000000" w:themeColor="text1"/>
                <w:sz w:val="22"/>
                <w:szCs w:val="22"/>
              </w:rPr>
              <w:t xml:space="preserve"> are met and their learning is </w:t>
            </w:r>
            <w:r w:rsidRPr="00081165">
              <w:rPr>
                <w:rFonts w:ascii="Arial" w:hAnsi="Arial" w:cs="Arial"/>
                <w:b/>
                <w:bCs/>
                <w:noProof/>
                <w:color w:val="000000" w:themeColor="text1"/>
                <w:sz w:val="22"/>
                <w:szCs w:val="22"/>
              </w:rPr>
              <w:t>supported and challenged</w:t>
            </w:r>
            <w:r w:rsidRPr="00081165">
              <w:rPr>
                <w:rFonts w:ascii="Arial" w:hAnsi="Arial" w:cs="Arial"/>
                <w:noProof/>
                <w:color w:val="000000" w:themeColor="text1"/>
                <w:sz w:val="22"/>
                <w:szCs w:val="22"/>
              </w:rPr>
              <w:t>.</w:t>
            </w:r>
          </w:p>
          <w:p w14:paraId="4FB8D8A2" w14:textId="77777777" w:rsidR="00A74CCD" w:rsidRPr="00081165" w:rsidRDefault="00A74CCD" w:rsidP="00A74CCD">
            <w:pPr>
              <w:numPr>
                <w:ilvl w:val="0"/>
                <w:numId w:val="1"/>
              </w:numPr>
              <w:autoSpaceDE w:val="0"/>
              <w:autoSpaceDN w:val="0"/>
              <w:adjustRightInd w:val="0"/>
              <w:spacing w:after="0" w:line="240" w:lineRule="auto"/>
              <w:rPr>
                <w:rFonts w:ascii="Arial" w:hAnsi="Arial" w:cs="Arial"/>
                <w:noProof/>
                <w:color w:val="000000" w:themeColor="text1"/>
                <w:sz w:val="22"/>
                <w:szCs w:val="22"/>
              </w:rPr>
            </w:pPr>
            <w:r w:rsidRPr="00081165">
              <w:rPr>
                <w:rFonts w:ascii="Arial" w:hAnsi="Arial" w:cs="Arial"/>
                <w:noProof/>
                <w:color w:val="000000" w:themeColor="text1"/>
                <w:sz w:val="22"/>
                <w:szCs w:val="22"/>
              </w:rPr>
              <w:t xml:space="preserve">To ensure children develop across the </w:t>
            </w:r>
            <w:r w:rsidRPr="00081165">
              <w:rPr>
                <w:rFonts w:ascii="Arial" w:hAnsi="Arial" w:cs="Arial"/>
                <w:b/>
                <w:bCs/>
                <w:noProof/>
                <w:color w:val="000000" w:themeColor="text1"/>
                <w:sz w:val="22"/>
                <w:szCs w:val="22"/>
              </w:rPr>
              <w:t>four capacities</w:t>
            </w:r>
            <w:r w:rsidRPr="00081165">
              <w:rPr>
                <w:rFonts w:ascii="Arial" w:hAnsi="Arial" w:cs="Arial"/>
                <w:noProof/>
                <w:color w:val="000000" w:themeColor="text1"/>
                <w:sz w:val="22"/>
                <w:szCs w:val="22"/>
              </w:rPr>
              <w:t xml:space="preserve"> (Successful Learner, Confident Individual, Responsible Citizen and Effective Contributor) and live our school and nursery values.</w:t>
            </w:r>
          </w:p>
          <w:p w14:paraId="015B8D15" w14:textId="77777777" w:rsidR="00A74CCD" w:rsidRPr="00081165" w:rsidRDefault="00A74CCD" w:rsidP="00A74CCD">
            <w:pPr>
              <w:numPr>
                <w:ilvl w:val="0"/>
                <w:numId w:val="1"/>
              </w:numPr>
              <w:autoSpaceDE w:val="0"/>
              <w:autoSpaceDN w:val="0"/>
              <w:adjustRightInd w:val="0"/>
              <w:spacing w:after="0" w:line="240" w:lineRule="auto"/>
              <w:rPr>
                <w:rFonts w:ascii="Arial" w:hAnsi="Arial" w:cs="Arial"/>
                <w:noProof/>
                <w:color w:val="000000" w:themeColor="text1"/>
                <w:sz w:val="22"/>
                <w:szCs w:val="22"/>
              </w:rPr>
            </w:pPr>
            <w:r w:rsidRPr="00081165">
              <w:rPr>
                <w:rFonts w:ascii="Arial" w:hAnsi="Arial" w:cs="Arial"/>
                <w:noProof/>
                <w:color w:val="000000" w:themeColor="text1"/>
                <w:sz w:val="22"/>
                <w:szCs w:val="22"/>
              </w:rPr>
              <w:t xml:space="preserve">To equip our learners with the </w:t>
            </w:r>
            <w:r w:rsidRPr="00081165">
              <w:rPr>
                <w:rFonts w:ascii="Arial" w:hAnsi="Arial" w:cs="Arial"/>
                <w:b/>
                <w:bCs/>
                <w:noProof/>
                <w:color w:val="000000" w:themeColor="text1"/>
                <w:sz w:val="22"/>
                <w:szCs w:val="22"/>
              </w:rPr>
              <w:t>skills, knowledge and attitudes</w:t>
            </w:r>
            <w:r w:rsidRPr="00081165">
              <w:rPr>
                <w:rFonts w:ascii="Arial" w:hAnsi="Arial" w:cs="Arial"/>
                <w:noProof/>
                <w:color w:val="000000" w:themeColor="text1"/>
                <w:sz w:val="22"/>
                <w:szCs w:val="22"/>
              </w:rPr>
              <w:t xml:space="preserve"> (Aim high, Persevere, Reflect and Adapt, Wonder, problem Solve, Link Learning and Engage) for </w:t>
            </w:r>
            <w:r w:rsidRPr="00081165">
              <w:rPr>
                <w:rFonts w:ascii="Arial" w:hAnsi="Arial" w:cs="Arial"/>
                <w:b/>
                <w:bCs/>
                <w:noProof/>
                <w:color w:val="000000" w:themeColor="text1"/>
                <w:sz w:val="22"/>
                <w:szCs w:val="22"/>
              </w:rPr>
              <w:t>learning, life and work</w:t>
            </w:r>
            <w:r w:rsidRPr="00081165">
              <w:rPr>
                <w:rFonts w:ascii="Arial" w:hAnsi="Arial" w:cs="Arial"/>
                <w:noProof/>
                <w:color w:val="000000" w:themeColor="text1"/>
                <w:sz w:val="22"/>
                <w:szCs w:val="22"/>
              </w:rPr>
              <w:t>.</w:t>
            </w:r>
          </w:p>
          <w:p w14:paraId="30400405" w14:textId="77777777" w:rsidR="00A74CCD" w:rsidRPr="00081165" w:rsidRDefault="00A74CCD" w:rsidP="00A74CCD">
            <w:pPr>
              <w:numPr>
                <w:ilvl w:val="0"/>
                <w:numId w:val="1"/>
              </w:numPr>
              <w:autoSpaceDE w:val="0"/>
              <w:autoSpaceDN w:val="0"/>
              <w:adjustRightInd w:val="0"/>
              <w:spacing w:after="0" w:line="240" w:lineRule="auto"/>
              <w:rPr>
                <w:rFonts w:ascii="Arial" w:hAnsi="Arial" w:cs="Arial"/>
                <w:noProof/>
                <w:color w:val="000000" w:themeColor="text1"/>
                <w:sz w:val="22"/>
                <w:szCs w:val="22"/>
              </w:rPr>
            </w:pPr>
            <w:r w:rsidRPr="00081165">
              <w:rPr>
                <w:rFonts w:ascii="Arial" w:hAnsi="Arial" w:cs="Arial"/>
                <w:noProof/>
                <w:color w:val="000000" w:themeColor="text1"/>
                <w:sz w:val="22"/>
                <w:szCs w:val="22"/>
              </w:rPr>
              <w:t xml:space="preserve">To provide an </w:t>
            </w:r>
            <w:r w:rsidRPr="00081165">
              <w:rPr>
                <w:rFonts w:ascii="Arial" w:hAnsi="Arial" w:cs="Arial"/>
                <w:b/>
                <w:bCs/>
                <w:noProof/>
                <w:color w:val="000000" w:themeColor="text1"/>
                <w:sz w:val="22"/>
                <w:szCs w:val="22"/>
              </w:rPr>
              <w:t>equity of experience and opportunity</w:t>
            </w:r>
            <w:r w:rsidRPr="00081165">
              <w:rPr>
                <w:rFonts w:ascii="Arial" w:hAnsi="Arial" w:cs="Arial"/>
                <w:noProof/>
                <w:color w:val="000000" w:themeColor="text1"/>
                <w:sz w:val="22"/>
                <w:szCs w:val="22"/>
              </w:rPr>
              <w:t xml:space="preserve"> to ensure all learners are able to fulfill their potential.</w:t>
            </w:r>
          </w:p>
          <w:p w14:paraId="4636382F" w14:textId="1E550199" w:rsidR="00A74CCD" w:rsidRPr="00081165" w:rsidRDefault="00A74CCD" w:rsidP="008D7044">
            <w:pPr>
              <w:numPr>
                <w:ilvl w:val="0"/>
                <w:numId w:val="1"/>
              </w:numPr>
              <w:autoSpaceDE w:val="0"/>
              <w:autoSpaceDN w:val="0"/>
              <w:adjustRightInd w:val="0"/>
              <w:spacing w:after="0" w:line="240" w:lineRule="auto"/>
              <w:rPr>
                <w:rFonts w:ascii="Arial" w:hAnsi="Arial" w:cs="Arial"/>
                <w:noProof/>
                <w:color w:val="000000" w:themeColor="text1"/>
                <w:sz w:val="22"/>
                <w:szCs w:val="22"/>
              </w:rPr>
            </w:pPr>
            <w:r w:rsidRPr="00081165">
              <w:rPr>
                <w:rFonts w:ascii="Arial" w:hAnsi="Arial" w:cs="Arial"/>
                <w:noProof/>
                <w:color w:val="000000" w:themeColor="text1"/>
                <w:sz w:val="22"/>
                <w:szCs w:val="22"/>
              </w:rPr>
              <w:t xml:space="preserve">To </w:t>
            </w:r>
            <w:r w:rsidRPr="00081165">
              <w:rPr>
                <w:rFonts w:ascii="Arial" w:hAnsi="Arial" w:cs="Arial"/>
                <w:b/>
                <w:bCs/>
                <w:noProof/>
                <w:color w:val="000000" w:themeColor="text1"/>
                <w:sz w:val="22"/>
                <w:szCs w:val="22"/>
              </w:rPr>
              <w:t>raise attaiment</w:t>
            </w:r>
            <w:r w:rsidRPr="00081165">
              <w:rPr>
                <w:rFonts w:ascii="Arial" w:hAnsi="Arial" w:cs="Arial"/>
                <w:noProof/>
                <w:color w:val="000000" w:themeColor="text1"/>
                <w:sz w:val="22"/>
                <w:szCs w:val="22"/>
              </w:rPr>
              <w:t xml:space="preserve"> and narrow the attainment gap.</w:t>
            </w:r>
          </w:p>
          <w:p w14:paraId="38FB0BCC" w14:textId="77777777" w:rsidR="00A74CCD" w:rsidRDefault="00A74CCD" w:rsidP="00A74CCD">
            <w:pPr>
              <w:spacing w:after="0" w:line="240" w:lineRule="auto"/>
              <w:textAlignment w:val="baseline"/>
              <w:rPr>
                <w:rFonts w:cs="Segoe UI"/>
                <w:noProof/>
                <w:color w:val="000000" w:themeColor="text1"/>
              </w:rPr>
            </w:pPr>
          </w:p>
          <w:p w14:paraId="51487843" w14:textId="5168F1F2" w:rsidR="00A74CCD" w:rsidRPr="00400782" w:rsidRDefault="00A74CCD" w:rsidP="00A74CCD">
            <w:pPr>
              <w:spacing w:after="0" w:line="240" w:lineRule="auto"/>
              <w:textAlignment w:val="baseline"/>
              <w:rPr>
                <w:rFonts w:ascii="Segoe UI" w:eastAsia="Times New Roman" w:hAnsi="Segoe UI" w:cs="Segoe UI"/>
                <w:sz w:val="18"/>
                <w:szCs w:val="18"/>
                <w:lang w:eastAsia="en-GB"/>
              </w:rPr>
            </w:pPr>
          </w:p>
        </w:tc>
      </w:tr>
      <w:tr w:rsidR="00A74CCD" w:rsidRPr="00400782" w14:paraId="29F4695F" w14:textId="77777777" w:rsidTr="00903691">
        <w:trPr>
          <w:trHeight w:val="555"/>
        </w:trPr>
        <w:tc>
          <w:tcPr>
            <w:tcW w:w="15010" w:type="dxa"/>
            <w:gridSpan w:val="3"/>
            <w:tcBorders>
              <w:top w:val="double" w:sz="12" w:space="0" w:color="auto"/>
              <w:left w:val="double" w:sz="12" w:space="0" w:color="auto"/>
              <w:bottom w:val="single" w:sz="6" w:space="0" w:color="auto"/>
              <w:right w:val="double" w:sz="12" w:space="0" w:color="auto"/>
            </w:tcBorders>
            <w:shd w:val="clear" w:color="auto" w:fill="auto"/>
            <w:vAlign w:val="center"/>
            <w:hideMark/>
          </w:tcPr>
          <w:p w14:paraId="33B7B701" w14:textId="77777777" w:rsidR="00A74CCD" w:rsidRPr="00400782" w:rsidRDefault="00A74CCD" w:rsidP="0090369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 xml:space="preserve">Cost of the School Day </w:t>
            </w:r>
            <w:r w:rsidRPr="00400782">
              <w:rPr>
                <w:rFonts w:ascii="Arial" w:eastAsia="Times New Roman" w:hAnsi="Arial" w:cs="Arial"/>
                <w:sz w:val="20"/>
                <w:szCs w:val="20"/>
                <w:lang w:eastAsia="en-GB"/>
              </w:rPr>
              <w:t>(In what key ways do you plan to mitigate against Costs within the School Day) </w:t>
            </w:r>
          </w:p>
        </w:tc>
      </w:tr>
      <w:tr w:rsidR="00A74CCD" w:rsidRPr="00400782" w14:paraId="30143ABA" w14:textId="77777777" w:rsidTr="00A74CCD">
        <w:trPr>
          <w:trHeight w:val="1695"/>
        </w:trPr>
        <w:tc>
          <w:tcPr>
            <w:tcW w:w="15010" w:type="dxa"/>
            <w:gridSpan w:val="3"/>
            <w:tcBorders>
              <w:top w:val="single" w:sz="6" w:space="0" w:color="auto"/>
              <w:left w:val="double" w:sz="12" w:space="0" w:color="auto"/>
              <w:bottom w:val="single" w:sz="6" w:space="0" w:color="auto"/>
              <w:right w:val="double" w:sz="12" w:space="0" w:color="auto"/>
            </w:tcBorders>
            <w:shd w:val="clear" w:color="auto" w:fill="auto"/>
            <w:hideMark/>
          </w:tcPr>
          <w:p w14:paraId="55FB9C91" w14:textId="77777777" w:rsidR="00A74CCD" w:rsidRPr="00081165" w:rsidRDefault="00A74CCD" w:rsidP="00A74CCD">
            <w:pPr>
              <w:spacing w:after="0" w:line="240" w:lineRule="auto"/>
              <w:textAlignment w:val="baseline"/>
              <w:rPr>
                <w:rFonts w:ascii="Arial" w:eastAsia="Times New Roman" w:hAnsi="Arial" w:cs="Arial"/>
                <w:sz w:val="22"/>
                <w:szCs w:val="22"/>
                <w:lang w:eastAsia="en-GB"/>
              </w:rPr>
            </w:pPr>
            <w:r w:rsidRPr="00400782">
              <w:rPr>
                <w:rFonts w:ascii="Arial" w:eastAsia="Times New Roman" w:hAnsi="Arial" w:cs="Arial"/>
                <w:sz w:val="28"/>
                <w:szCs w:val="28"/>
                <w:lang w:eastAsia="en-GB"/>
              </w:rPr>
              <w:t> </w:t>
            </w:r>
            <w:r w:rsidRPr="00081165">
              <w:rPr>
                <w:rFonts w:ascii="Arial" w:hAnsi="Arial" w:cs="Arial"/>
                <w:bCs/>
                <w:color w:val="000000" w:themeColor="text1"/>
                <w:sz w:val="22"/>
                <w:szCs w:val="22"/>
              </w:rPr>
              <w:t>We</w:t>
            </w:r>
            <w:r w:rsidRPr="00081165">
              <w:rPr>
                <w:rFonts w:ascii="Arial" w:hAnsi="Arial" w:cs="Arial"/>
                <w:color w:val="000000" w:themeColor="text1"/>
                <w:sz w:val="22"/>
                <w:szCs w:val="22"/>
              </w:rPr>
              <w:t xml:space="preserve"> </w:t>
            </w:r>
            <w:proofErr w:type="spellStart"/>
            <w:r w:rsidRPr="00081165">
              <w:rPr>
                <w:rFonts w:ascii="Arial" w:hAnsi="Arial" w:cs="Arial"/>
                <w:color w:val="000000" w:themeColor="text1"/>
                <w:sz w:val="22"/>
                <w:szCs w:val="22"/>
              </w:rPr>
              <w:t>recognise</w:t>
            </w:r>
            <w:proofErr w:type="spellEnd"/>
            <w:r w:rsidRPr="00081165">
              <w:rPr>
                <w:rFonts w:ascii="Arial" w:hAnsi="Arial" w:cs="Arial"/>
                <w:color w:val="000000" w:themeColor="text1"/>
                <w:sz w:val="22"/>
                <w:szCs w:val="22"/>
              </w:rPr>
              <w:t xml:space="preserve"> the need to reduce the Cost of the School Day for all our young people and particularly for our young people who are already experiencing poverty. We examine the school day through the following headings; Uniform, Travel, Learning, Friendship and Community, School trips, Eating, Clubs and Home learning.</w:t>
            </w:r>
            <w:r w:rsidRPr="00081165">
              <w:rPr>
                <w:rFonts w:ascii="Arial" w:eastAsia="Times New Roman" w:hAnsi="Arial" w:cs="Arial"/>
                <w:sz w:val="22"/>
                <w:szCs w:val="22"/>
                <w:lang w:eastAsia="en-GB"/>
              </w:rPr>
              <w:t xml:space="preserve"> We regularly provide advice and signposting for families regarding income </w:t>
            </w:r>
            <w:proofErr w:type="spellStart"/>
            <w:r w:rsidRPr="00081165">
              <w:rPr>
                <w:rFonts w:ascii="Arial" w:eastAsia="Times New Roman" w:hAnsi="Arial" w:cs="Arial"/>
                <w:sz w:val="22"/>
                <w:szCs w:val="22"/>
                <w:lang w:eastAsia="en-GB"/>
              </w:rPr>
              <w:t>maximisation</w:t>
            </w:r>
            <w:proofErr w:type="spellEnd"/>
            <w:r w:rsidRPr="00081165">
              <w:rPr>
                <w:rFonts w:ascii="Arial" w:eastAsia="Times New Roman" w:hAnsi="Arial" w:cs="Arial"/>
                <w:sz w:val="22"/>
                <w:szCs w:val="22"/>
                <w:lang w:eastAsia="en-GB"/>
              </w:rPr>
              <w:t xml:space="preserve">.  </w:t>
            </w:r>
          </w:p>
          <w:p w14:paraId="30B24A7B" w14:textId="77777777" w:rsidR="00A74CCD" w:rsidRPr="00081165" w:rsidRDefault="00A74CCD" w:rsidP="00A74CCD">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b/>
                <w:bCs/>
                <w:sz w:val="22"/>
                <w:szCs w:val="22"/>
                <w:lang w:eastAsia="en-GB"/>
              </w:rPr>
              <w:t xml:space="preserve">Uniform </w:t>
            </w:r>
            <w:r w:rsidRPr="00081165">
              <w:rPr>
                <w:rFonts w:ascii="Arial" w:eastAsia="Times New Roman" w:hAnsi="Arial" w:cs="Arial"/>
                <w:sz w:val="22"/>
                <w:szCs w:val="22"/>
                <w:lang w:eastAsia="en-GB"/>
              </w:rPr>
              <w:t xml:space="preserve">– we encourage families to use our pre-loved uniform stock. Where children start mid-year we will provide a pre-loved school sweatshirt where stock is available. Families do not have to buy uniform with logo, our school </w:t>
            </w:r>
            <w:proofErr w:type="spellStart"/>
            <w:r w:rsidRPr="00081165">
              <w:rPr>
                <w:rFonts w:ascii="Arial" w:eastAsia="Times New Roman" w:hAnsi="Arial" w:cs="Arial"/>
                <w:sz w:val="22"/>
                <w:szCs w:val="22"/>
                <w:lang w:eastAsia="en-GB"/>
              </w:rPr>
              <w:t>colours</w:t>
            </w:r>
            <w:proofErr w:type="spellEnd"/>
            <w:r w:rsidRPr="00081165">
              <w:rPr>
                <w:rFonts w:ascii="Arial" w:eastAsia="Times New Roman" w:hAnsi="Arial" w:cs="Arial"/>
                <w:sz w:val="22"/>
                <w:szCs w:val="22"/>
                <w:lang w:eastAsia="en-GB"/>
              </w:rPr>
              <w:t xml:space="preserve"> are readily available at a number of local shops at different price points. All children in school are given a school logo fleece to borrow each year. In addition to school uniform we regularly support families with other clothing through the Dunfermline Children’s Clothing Bank.</w:t>
            </w:r>
          </w:p>
          <w:p w14:paraId="42E0286D" w14:textId="77777777" w:rsidR="00A74CCD" w:rsidRPr="00081165" w:rsidRDefault="00A74CCD" w:rsidP="00A74CCD">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b/>
                <w:bCs/>
                <w:sz w:val="22"/>
                <w:szCs w:val="22"/>
                <w:lang w:eastAsia="en-GB"/>
              </w:rPr>
              <w:t>Travel</w:t>
            </w:r>
            <w:r w:rsidRPr="00081165">
              <w:rPr>
                <w:rFonts w:ascii="Arial" w:eastAsia="Times New Roman" w:hAnsi="Arial" w:cs="Arial"/>
                <w:sz w:val="22"/>
                <w:szCs w:val="22"/>
                <w:lang w:eastAsia="en-GB"/>
              </w:rPr>
              <w:t xml:space="preserve"> – we support and encourage families to use the free bus pass scheme for children. We support and encourage active travel to school through our school travel plan and provision of bike racks</w:t>
            </w:r>
          </w:p>
          <w:p w14:paraId="2C7BABF9" w14:textId="77777777" w:rsidR="00A74CCD" w:rsidRPr="00081165" w:rsidRDefault="00A74CCD" w:rsidP="00A74CCD">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b/>
                <w:bCs/>
                <w:sz w:val="22"/>
                <w:szCs w:val="22"/>
                <w:lang w:eastAsia="en-GB"/>
              </w:rPr>
              <w:t>Learning</w:t>
            </w:r>
            <w:r w:rsidRPr="00081165">
              <w:rPr>
                <w:rFonts w:ascii="Arial" w:eastAsia="Times New Roman" w:hAnsi="Arial" w:cs="Arial"/>
                <w:sz w:val="22"/>
                <w:szCs w:val="22"/>
                <w:lang w:eastAsia="en-GB"/>
              </w:rPr>
              <w:t xml:space="preserve"> – we provide all resources needed for learning at no extra cost to families e.g. for food technology, stationery etc. All external visitors to the school to support children’s learning is at no additional cost to families. This is funded through DSM, grants or PEF.</w:t>
            </w:r>
          </w:p>
          <w:p w14:paraId="1F814926" w14:textId="77777777" w:rsidR="00A74CCD" w:rsidRPr="00081165" w:rsidRDefault="00A74CCD" w:rsidP="00A74CCD">
            <w:pPr>
              <w:spacing w:after="0" w:line="240" w:lineRule="auto"/>
              <w:rPr>
                <w:rFonts w:ascii="Arial" w:eastAsia="Times New Roman" w:hAnsi="Arial" w:cs="Arial"/>
                <w:sz w:val="22"/>
                <w:szCs w:val="22"/>
                <w:lang w:eastAsia="en-GB"/>
              </w:rPr>
            </w:pPr>
            <w:r w:rsidRPr="00081165">
              <w:rPr>
                <w:rFonts w:ascii="Arial" w:eastAsia="Times New Roman" w:hAnsi="Arial" w:cs="Arial"/>
                <w:b/>
                <w:bCs/>
                <w:sz w:val="22"/>
                <w:szCs w:val="22"/>
                <w:lang w:eastAsia="en-GB"/>
              </w:rPr>
              <w:t>Friendship and Community / Clubs</w:t>
            </w:r>
            <w:r w:rsidRPr="00081165">
              <w:rPr>
                <w:rFonts w:ascii="Arial" w:eastAsia="Times New Roman" w:hAnsi="Arial" w:cs="Arial"/>
                <w:sz w:val="22"/>
                <w:szCs w:val="22"/>
                <w:lang w:eastAsia="en-GB"/>
              </w:rPr>
              <w:t xml:space="preserve"> – we fund places for children at a number of activity clubs at lunchtime and after school. We are mindful of what and when we ask families for charitable contributions – we keep this to an unspecified contribution amount. When fundraising for school including through </w:t>
            </w:r>
            <w:r w:rsidRPr="00081165">
              <w:rPr>
                <w:rFonts w:ascii="Arial" w:eastAsia="Times New Roman" w:hAnsi="Arial" w:cs="Arial"/>
                <w:sz w:val="22"/>
                <w:szCs w:val="22"/>
                <w:lang w:eastAsia="en-GB"/>
              </w:rPr>
              <w:lastRenderedPageBreak/>
              <w:t>our Parent Council we are mindful to ensure all costs are shared with parents up front and there are opportunities for all price points e.g. at a school fair. We signpost families to clubs and school holiday provision which is no or low cost</w:t>
            </w:r>
          </w:p>
          <w:p w14:paraId="3DDFFA8A" w14:textId="77777777" w:rsidR="00A74CCD" w:rsidRPr="00081165" w:rsidRDefault="00A74CCD" w:rsidP="00A74CCD">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b/>
                <w:bCs/>
                <w:sz w:val="22"/>
                <w:szCs w:val="22"/>
                <w:lang w:eastAsia="en-GB"/>
              </w:rPr>
              <w:t>School trips</w:t>
            </w:r>
            <w:r w:rsidRPr="00081165">
              <w:rPr>
                <w:rFonts w:ascii="Arial" w:eastAsia="Times New Roman" w:hAnsi="Arial" w:cs="Arial"/>
                <w:sz w:val="22"/>
                <w:szCs w:val="22"/>
                <w:lang w:eastAsia="en-GB"/>
              </w:rPr>
              <w:t xml:space="preserve"> – we keep the cost to families for day trips as low as possible by looking at alternative means of travel and low / no cost entry fees. Where transport is needed school fund this or seek alternative funding sources through grants (using PEF if these are not possible). Where there is a small cost to a trip this will be paid for families experiencing financial hardship – no child is excluded from a trip for financial reasons. We give families at least 9 </w:t>
            </w:r>
            <w:proofErr w:type="spellStart"/>
            <w:r w:rsidRPr="00081165">
              <w:rPr>
                <w:rFonts w:ascii="Arial" w:eastAsia="Times New Roman" w:hAnsi="Arial" w:cs="Arial"/>
                <w:sz w:val="22"/>
                <w:szCs w:val="22"/>
                <w:lang w:eastAsia="en-GB"/>
              </w:rPr>
              <w:t>months notice</w:t>
            </w:r>
            <w:proofErr w:type="spellEnd"/>
            <w:r w:rsidRPr="00081165">
              <w:rPr>
                <w:rFonts w:ascii="Arial" w:eastAsia="Times New Roman" w:hAnsi="Arial" w:cs="Arial"/>
                <w:sz w:val="22"/>
                <w:szCs w:val="22"/>
                <w:lang w:eastAsia="en-GB"/>
              </w:rPr>
              <w:t xml:space="preserve"> for residential trips so that these can be paid over time, we seek grant funding for families experiencing financial hardship or where a family have multiple children attending the same trip and where necessary we will use PEF funding. </w:t>
            </w:r>
          </w:p>
          <w:p w14:paraId="549B61C3" w14:textId="77777777" w:rsidR="00A74CCD" w:rsidRPr="00081165" w:rsidRDefault="00A74CCD" w:rsidP="00A74CCD">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b/>
                <w:bCs/>
                <w:sz w:val="22"/>
                <w:szCs w:val="22"/>
                <w:lang w:eastAsia="en-GB"/>
              </w:rPr>
              <w:t xml:space="preserve">Eating </w:t>
            </w:r>
            <w:r w:rsidRPr="00081165">
              <w:rPr>
                <w:rFonts w:ascii="Arial" w:eastAsia="Times New Roman" w:hAnsi="Arial" w:cs="Arial"/>
                <w:sz w:val="22"/>
                <w:szCs w:val="22"/>
                <w:lang w:eastAsia="en-GB"/>
              </w:rPr>
              <w:t>– we provide a low cost breakfast for all children who wish to attend and where necessary will fund this in full. We provide free fruit for any child attending school without a snack.</w:t>
            </w:r>
          </w:p>
          <w:p w14:paraId="27082E51" w14:textId="77777777" w:rsidR="00A74CCD" w:rsidRPr="00081165" w:rsidRDefault="00A74CCD" w:rsidP="00A74CCD">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b/>
                <w:bCs/>
                <w:sz w:val="22"/>
                <w:szCs w:val="22"/>
                <w:lang w:eastAsia="en-GB"/>
              </w:rPr>
              <w:t>Home learning</w:t>
            </w:r>
            <w:r w:rsidRPr="00081165">
              <w:rPr>
                <w:rFonts w:ascii="Arial" w:eastAsia="Times New Roman" w:hAnsi="Arial" w:cs="Arial"/>
                <w:sz w:val="22"/>
                <w:szCs w:val="22"/>
                <w:lang w:eastAsia="en-GB"/>
              </w:rPr>
              <w:t xml:space="preserve"> - we provide homework bags for all children free of charge. We provide stationery for homework as needed. We run a loan system for books, games etc. All P7 children have a 1-1 digital device which is used between home and school. A number of children across the school have been issued with digital devices for use at home</w:t>
            </w:r>
          </w:p>
          <w:p w14:paraId="253B8181" w14:textId="77777777" w:rsidR="00A74CCD" w:rsidRPr="00081165" w:rsidRDefault="00A74CCD" w:rsidP="00A74CCD">
            <w:pPr>
              <w:spacing w:after="0" w:line="240" w:lineRule="auto"/>
              <w:textAlignment w:val="baseline"/>
              <w:rPr>
                <w:rFonts w:ascii="Arial" w:eastAsia="Times New Roman" w:hAnsi="Arial" w:cs="Arial"/>
                <w:sz w:val="22"/>
                <w:szCs w:val="22"/>
                <w:lang w:eastAsia="en-GB"/>
              </w:rPr>
            </w:pPr>
          </w:p>
          <w:p w14:paraId="207B2A58" w14:textId="680269AD" w:rsidR="00A74CCD" w:rsidRPr="00400782" w:rsidRDefault="00A74CCD" w:rsidP="00A74CCD">
            <w:pPr>
              <w:spacing w:after="0" w:line="240" w:lineRule="auto"/>
              <w:textAlignment w:val="baseline"/>
              <w:rPr>
                <w:rFonts w:ascii="Segoe UI" w:eastAsia="Times New Roman" w:hAnsi="Segoe UI" w:cs="Segoe UI"/>
                <w:sz w:val="18"/>
                <w:szCs w:val="18"/>
                <w:lang w:eastAsia="en-GB"/>
              </w:rPr>
            </w:pPr>
          </w:p>
        </w:tc>
      </w:tr>
      <w:tr w:rsidR="00A74CCD" w:rsidRPr="00400782" w14:paraId="627090F9" w14:textId="77777777" w:rsidTr="00903691">
        <w:trPr>
          <w:trHeight w:val="840"/>
        </w:trPr>
        <w:tc>
          <w:tcPr>
            <w:tcW w:w="4844"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131DB35C" w14:textId="77777777" w:rsidR="00A74CCD" w:rsidRPr="00400782" w:rsidRDefault="00A74CCD" w:rsidP="0090369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lastRenderedPageBreak/>
              <w:t>Stakeholder engagement </w:t>
            </w:r>
            <w:r w:rsidRPr="00400782">
              <w:rPr>
                <w:rFonts w:ascii="Arial" w:eastAsia="Times New Roman" w:hAnsi="Arial" w:cs="Arial"/>
                <w:sz w:val="28"/>
                <w:szCs w:val="28"/>
                <w:lang w:eastAsia="en-GB"/>
              </w:rPr>
              <w:t> </w:t>
            </w:r>
          </w:p>
          <w:p w14:paraId="75769654" w14:textId="77777777" w:rsidR="00A74CCD" w:rsidRPr="00400782" w:rsidRDefault="00A74CCD" w:rsidP="0090369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0"/>
                <w:szCs w:val="20"/>
                <w:lang w:eastAsia="en-GB"/>
              </w:rPr>
              <w:t>(in what ways have you engaged with your stakeholders – learners/parents/community etc.) </w:t>
            </w:r>
          </w:p>
        </w:tc>
        <w:tc>
          <w:tcPr>
            <w:tcW w:w="10166" w:type="dxa"/>
            <w:gridSpan w:val="2"/>
            <w:tcBorders>
              <w:top w:val="single" w:sz="6" w:space="0" w:color="auto"/>
              <w:left w:val="single" w:sz="6" w:space="0" w:color="auto"/>
              <w:bottom w:val="single" w:sz="6" w:space="0" w:color="auto"/>
              <w:right w:val="double" w:sz="12" w:space="0" w:color="auto"/>
            </w:tcBorders>
            <w:shd w:val="clear" w:color="auto" w:fill="auto"/>
            <w:vAlign w:val="center"/>
            <w:hideMark/>
          </w:tcPr>
          <w:p w14:paraId="61720069" w14:textId="77777777" w:rsidR="00A74CCD" w:rsidRPr="00400782" w:rsidRDefault="00A74CCD" w:rsidP="0090369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Participatory Budgeting </w:t>
            </w:r>
            <w:r w:rsidRPr="00400782">
              <w:rPr>
                <w:rFonts w:ascii="Arial" w:eastAsia="Times New Roman" w:hAnsi="Arial" w:cs="Arial"/>
                <w:sz w:val="28"/>
                <w:szCs w:val="28"/>
                <w:lang w:eastAsia="en-GB"/>
              </w:rPr>
              <w:t> </w:t>
            </w:r>
          </w:p>
          <w:p w14:paraId="6D86AB8F" w14:textId="77777777" w:rsidR="00A74CCD" w:rsidRPr="00400782" w:rsidRDefault="00A74CCD" w:rsidP="0090369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0"/>
                <w:szCs w:val="20"/>
                <w:lang w:eastAsia="en-GB"/>
              </w:rPr>
              <w:t>(Are you using any of your PEF allocation to support participatory budgeting. If yes, what is the focus?) </w:t>
            </w:r>
          </w:p>
        </w:tc>
      </w:tr>
      <w:tr w:rsidR="00A74CCD" w:rsidRPr="00400782" w14:paraId="608C437C" w14:textId="77777777" w:rsidTr="00903691">
        <w:trPr>
          <w:trHeight w:val="1695"/>
        </w:trPr>
        <w:tc>
          <w:tcPr>
            <w:tcW w:w="4844" w:type="dxa"/>
            <w:tcBorders>
              <w:top w:val="single" w:sz="6" w:space="0" w:color="auto"/>
              <w:left w:val="double" w:sz="12" w:space="0" w:color="auto"/>
              <w:bottom w:val="double" w:sz="12" w:space="0" w:color="auto"/>
              <w:right w:val="single" w:sz="6" w:space="0" w:color="auto"/>
            </w:tcBorders>
            <w:shd w:val="clear" w:color="auto" w:fill="auto"/>
            <w:vAlign w:val="center"/>
            <w:hideMark/>
          </w:tcPr>
          <w:p w14:paraId="3AE5E5AB" w14:textId="22364E8D" w:rsidR="00A74CCD" w:rsidRPr="00081165" w:rsidRDefault="00A74CCD"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Pupil focus group</w:t>
            </w:r>
          </w:p>
          <w:p w14:paraId="4436B1CA" w14:textId="77777777" w:rsidR="00A74CCD" w:rsidRPr="00081165" w:rsidRDefault="00A74CCD"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Parent Questionnaire</w:t>
            </w:r>
          </w:p>
          <w:p w14:paraId="13767C66" w14:textId="4E029DD3" w:rsidR="00A74CCD" w:rsidRPr="00400782" w:rsidRDefault="00A74CCD" w:rsidP="00903691">
            <w:pPr>
              <w:spacing w:after="0" w:line="240" w:lineRule="auto"/>
              <w:textAlignment w:val="baseline"/>
              <w:rPr>
                <w:rFonts w:ascii="Segoe UI" w:eastAsia="Times New Roman" w:hAnsi="Segoe UI" w:cs="Segoe UI"/>
                <w:sz w:val="18"/>
                <w:szCs w:val="18"/>
                <w:lang w:eastAsia="en-GB"/>
              </w:rPr>
            </w:pPr>
            <w:r w:rsidRPr="00081165">
              <w:rPr>
                <w:rFonts w:ascii="Arial" w:eastAsia="Times New Roman" w:hAnsi="Arial" w:cs="Arial"/>
                <w:sz w:val="22"/>
                <w:szCs w:val="22"/>
                <w:lang w:eastAsia="en-GB"/>
              </w:rPr>
              <w:t>Staff discussions</w:t>
            </w:r>
          </w:p>
        </w:tc>
        <w:tc>
          <w:tcPr>
            <w:tcW w:w="10166" w:type="dxa"/>
            <w:gridSpan w:val="2"/>
            <w:tcBorders>
              <w:top w:val="single" w:sz="6" w:space="0" w:color="auto"/>
              <w:left w:val="single" w:sz="6" w:space="0" w:color="auto"/>
              <w:bottom w:val="double" w:sz="12" w:space="0" w:color="auto"/>
              <w:right w:val="double" w:sz="12" w:space="0" w:color="auto"/>
            </w:tcBorders>
            <w:shd w:val="clear" w:color="auto" w:fill="auto"/>
            <w:vAlign w:val="center"/>
            <w:hideMark/>
          </w:tcPr>
          <w:p w14:paraId="438F03A9" w14:textId="77777777" w:rsidR="00A74CCD" w:rsidRPr="00400782" w:rsidRDefault="00A74CCD" w:rsidP="00903691">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8"/>
                <w:szCs w:val="28"/>
                <w:lang w:eastAsia="en-GB"/>
              </w:rPr>
              <w:t> </w:t>
            </w:r>
          </w:p>
        </w:tc>
      </w:tr>
    </w:tbl>
    <w:p w14:paraId="1AC6304E" w14:textId="77777777" w:rsidR="00032A06" w:rsidRDefault="00032A06"/>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A74CCD" w:rsidRPr="0051545A" w14:paraId="32D0D4BD" w14:textId="77777777" w:rsidTr="00903691">
        <w:trPr>
          <w:trHeight w:val="555"/>
        </w:trPr>
        <w:tc>
          <w:tcPr>
            <w:tcW w:w="7634" w:type="dxa"/>
            <w:gridSpan w:val="3"/>
            <w:tcBorders>
              <w:top w:val="double" w:sz="12" w:space="0" w:color="auto"/>
              <w:left w:val="double" w:sz="12" w:space="0" w:color="auto"/>
              <w:bottom w:val="single" w:sz="6" w:space="0" w:color="auto"/>
              <w:right w:val="single" w:sz="6" w:space="0" w:color="auto"/>
            </w:tcBorders>
            <w:shd w:val="clear" w:color="auto" w:fill="auto"/>
            <w:vAlign w:val="center"/>
            <w:hideMark/>
          </w:tcPr>
          <w:p w14:paraId="634B3CED" w14:textId="77777777" w:rsidR="00A74CCD" w:rsidRPr="0051545A" w:rsidRDefault="00A74CCD" w:rsidP="0090369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Rationale</w:t>
            </w:r>
            <w:r w:rsidRPr="0051545A">
              <w:rPr>
                <w:rFonts w:ascii="Arial" w:eastAsia="Times New Roman" w:hAnsi="Arial" w:cs="Arial"/>
                <w:color w:val="000000"/>
                <w:sz w:val="28"/>
                <w:szCs w:val="28"/>
                <w:lang w:eastAsia="en-GB"/>
              </w:rPr>
              <w:t> </w:t>
            </w:r>
          </w:p>
          <w:p w14:paraId="586D444F" w14:textId="77777777" w:rsidR="00A74CCD" w:rsidRPr="0051545A" w:rsidRDefault="00A74CCD" w:rsidP="0090369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poverty-related attainment gap are you trying to address?)  </w:t>
            </w:r>
          </w:p>
          <w:p w14:paraId="72E28055" w14:textId="77777777" w:rsidR="00A74CCD" w:rsidRPr="0051545A" w:rsidRDefault="00A74CCD" w:rsidP="0090369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This does not all have to have a PEF cost</w:t>
            </w:r>
            <w:r w:rsidRPr="0051545A">
              <w:rPr>
                <w:rFonts w:ascii="Arial" w:eastAsia="Times New Roman" w:hAnsi="Arial" w:cs="Arial"/>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shd w:val="clear" w:color="auto" w:fill="auto"/>
            <w:vAlign w:val="center"/>
            <w:hideMark/>
          </w:tcPr>
          <w:p w14:paraId="6771C30C" w14:textId="23617AEF" w:rsidR="00A74CCD" w:rsidRDefault="00A74CCD" w:rsidP="00903691">
            <w:pPr>
              <w:spacing w:after="0" w:line="240" w:lineRule="auto"/>
              <w:textAlignment w:val="baseline"/>
              <w:rPr>
                <w:rFonts w:ascii="Arial" w:eastAsia="Times New Roman" w:hAnsi="Arial" w:cs="Arial"/>
                <w:b/>
                <w:bCs/>
                <w:color w:val="000000"/>
                <w:sz w:val="28"/>
                <w:szCs w:val="28"/>
                <w:lang w:eastAsia="en-GB"/>
              </w:rPr>
            </w:pPr>
            <w:r w:rsidRPr="0051545A">
              <w:rPr>
                <w:rFonts w:ascii="Arial" w:eastAsia="Times New Roman" w:hAnsi="Arial" w:cs="Arial"/>
                <w:b/>
                <w:bCs/>
                <w:color w:val="000000"/>
                <w:sz w:val="28"/>
                <w:szCs w:val="28"/>
                <w:lang w:eastAsia="en-GB"/>
              </w:rPr>
              <w:t>Amount of Fund allocated (if appropriate) £</w:t>
            </w:r>
            <w:r w:rsidR="00DD0048">
              <w:rPr>
                <w:rFonts w:ascii="Arial" w:eastAsia="Times New Roman" w:hAnsi="Arial" w:cs="Arial"/>
                <w:b/>
                <w:bCs/>
                <w:color w:val="000000"/>
                <w:sz w:val="28"/>
                <w:szCs w:val="28"/>
                <w:lang w:eastAsia="en-GB"/>
              </w:rPr>
              <w:t>9,778</w:t>
            </w:r>
          </w:p>
          <w:p w14:paraId="7077B653" w14:textId="27D9FAE2" w:rsidR="00560F75" w:rsidRPr="00560F75" w:rsidRDefault="00560F75" w:rsidP="00903691">
            <w:pPr>
              <w:spacing w:after="0" w:line="240" w:lineRule="auto"/>
              <w:textAlignment w:val="baseline"/>
              <w:rPr>
                <w:rFonts w:ascii="Arial" w:eastAsia="Times New Roman" w:hAnsi="Arial" w:cs="Arial"/>
                <w:color w:val="000000"/>
                <w:sz w:val="28"/>
                <w:szCs w:val="28"/>
                <w:lang w:eastAsia="en-GB"/>
              </w:rPr>
            </w:pPr>
            <w:r w:rsidRPr="00560F75">
              <w:rPr>
                <w:rFonts w:ascii="Arial" w:eastAsia="Times New Roman" w:hAnsi="Arial" w:cs="Arial"/>
                <w:color w:val="000000"/>
                <w:sz w:val="28"/>
                <w:szCs w:val="28"/>
                <w:lang w:eastAsia="en-GB"/>
              </w:rPr>
              <w:t>(+£4000 for ongoing attendance support following intervention)</w:t>
            </w:r>
          </w:p>
          <w:p w14:paraId="766243D2" w14:textId="6DB5E343" w:rsidR="002D7ACE" w:rsidRPr="0051545A" w:rsidRDefault="002D7ACE" w:rsidP="00903691">
            <w:pPr>
              <w:spacing w:after="0" w:line="240" w:lineRule="auto"/>
              <w:textAlignment w:val="baseline"/>
              <w:rPr>
                <w:rFonts w:ascii="Segoe UI" w:eastAsia="Times New Roman" w:hAnsi="Segoe UI" w:cs="Segoe UI"/>
                <w:sz w:val="18"/>
                <w:szCs w:val="18"/>
                <w:lang w:eastAsia="en-GB"/>
              </w:rPr>
            </w:pPr>
          </w:p>
        </w:tc>
      </w:tr>
      <w:tr w:rsidR="00A74CCD" w:rsidRPr="0051545A" w14:paraId="385A1125" w14:textId="77777777" w:rsidTr="00903691">
        <w:trPr>
          <w:trHeight w:val="840"/>
        </w:trPr>
        <w:tc>
          <w:tcPr>
            <w:tcW w:w="15017" w:type="dxa"/>
            <w:gridSpan w:val="5"/>
            <w:tcBorders>
              <w:top w:val="single" w:sz="6" w:space="0" w:color="auto"/>
              <w:left w:val="double" w:sz="12" w:space="0" w:color="auto"/>
              <w:bottom w:val="single" w:sz="6" w:space="0" w:color="auto"/>
              <w:right w:val="double" w:sz="12" w:space="0" w:color="auto"/>
            </w:tcBorders>
            <w:shd w:val="clear" w:color="auto" w:fill="auto"/>
            <w:vAlign w:val="center"/>
            <w:hideMark/>
          </w:tcPr>
          <w:p w14:paraId="513D5105" w14:textId="11F9B8F8" w:rsidR="00A74CCD" w:rsidRPr="00081165" w:rsidRDefault="00A74CCD"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During session 24/25 there was an attendance gap of 6.4% in September and 5.87</w:t>
            </w:r>
            <w:r w:rsidR="00616319" w:rsidRPr="00081165">
              <w:rPr>
                <w:rFonts w:ascii="Arial" w:eastAsia="Times New Roman" w:hAnsi="Arial" w:cs="Arial"/>
                <w:sz w:val="22"/>
                <w:szCs w:val="22"/>
                <w:lang w:eastAsia="en-GB"/>
              </w:rPr>
              <w:t>%</w:t>
            </w:r>
            <w:r w:rsidRPr="00081165">
              <w:rPr>
                <w:rFonts w:ascii="Arial" w:eastAsia="Times New Roman" w:hAnsi="Arial" w:cs="Arial"/>
                <w:sz w:val="22"/>
                <w:szCs w:val="22"/>
                <w:lang w:eastAsia="en-GB"/>
              </w:rPr>
              <w:t xml:space="preserve"> in November and 5.98% in December. A similar picture was seen during the winter months of the preceding year. There is an appearing trend of children in </w:t>
            </w:r>
            <w:proofErr w:type="spellStart"/>
            <w:r w:rsidRPr="00081165">
              <w:rPr>
                <w:rFonts w:ascii="Arial" w:eastAsia="Times New Roman" w:hAnsi="Arial" w:cs="Arial"/>
                <w:sz w:val="22"/>
                <w:szCs w:val="22"/>
                <w:lang w:eastAsia="en-GB"/>
              </w:rPr>
              <w:t>SIMd</w:t>
            </w:r>
            <w:proofErr w:type="spellEnd"/>
            <w:r w:rsidRPr="00081165">
              <w:rPr>
                <w:rFonts w:ascii="Arial" w:eastAsia="Times New Roman" w:hAnsi="Arial" w:cs="Arial"/>
                <w:sz w:val="22"/>
                <w:szCs w:val="22"/>
                <w:lang w:eastAsia="en-GB"/>
              </w:rPr>
              <w:t xml:space="preserve"> 1 and 2 having a lower attendance during the winter.  </w:t>
            </w:r>
          </w:p>
        </w:tc>
      </w:tr>
      <w:tr w:rsidR="00A74CCD" w:rsidRPr="0051545A" w14:paraId="627C2783" w14:textId="77777777" w:rsidTr="00903691">
        <w:trPr>
          <w:trHeight w:val="1125"/>
        </w:trPr>
        <w:tc>
          <w:tcPr>
            <w:tcW w:w="3040"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72509A98"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Expected Impact</w:t>
            </w:r>
            <w:r w:rsidRPr="0051545A">
              <w:rPr>
                <w:rFonts w:ascii="Arial" w:eastAsia="Times New Roman" w:hAnsi="Arial" w:cs="Arial"/>
                <w:color w:val="000000"/>
                <w:sz w:val="28"/>
                <w:szCs w:val="28"/>
                <w:lang w:eastAsia="en-GB"/>
              </w:rPr>
              <w:t> </w:t>
            </w:r>
          </w:p>
          <w:p w14:paraId="1947B77A"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expected impact on outcomes for children and young people) </w:t>
            </w:r>
          </w:p>
          <w:p w14:paraId="6F567957"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 </w:t>
            </w:r>
          </w:p>
          <w:p w14:paraId="6379FD62"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A7F54"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Interventions Planned</w:t>
            </w:r>
            <w:r w:rsidRPr="0051545A">
              <w:rPr>
                <w:rFonts w:ascii="Arial" w:eastAsia="Times New Roman" w:hAnsi="Arial" w:cs="Arial"/>
                <w:color w:val="000000"/>
                <w:sz w:val="28"/>
                <w:szCs w:val="28"/>
                <w:lang w:eastAsia="en-GB"/>
              </w:rPr>
              <w:t> </w:t>
            </w:r>
          </w:p>
          <w:p w14:paraId="79F3947A"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093F9CB"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Measure of Success</w:t>
            </w:r>
            <w:r w:rsidRPr="0051545A">
              <w:rPr>
                <w:rFonts w:ascii="Arial" w:eastAsia="Times New Roman" w:hAnsi="Arial" w:cs="Arial"/>
                <w:color w:val="000000"/>
                <w:sz w:val="28"/>
                <w:szCs w:val="28"/>
                <w:lang w:eastAsia="en-GB"/>
              </w:rPr>
              <w:t> </w:t>
            </w:r>
          </w:p>
          <w:p w14:paraId="17E2A2C3"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shd w:val="clear" w:color="auto" w:fill="auto"/>
            <w:vAlign w:val="center"/>
            <w:hideMark/>
          </w:tcPr>
          <w:p w14:paraId="6C8AC74A"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Impact on learners</w:t>
            </w:r>
            <w:r w:rsidRPr="0051545A">
              <w:rPr>
                <w:rFonts w:ascii="Arial" w:eastAsia="Times New Roman" w:hAnsi="Arial" w:cs="Arial"/>
                <w:color w:val="000000"/>
                <w:sz w:val="28"/>
                <w:szCs w:val="28"/>
                <w:lang w:eastAsia="en-GB"/>
              </w:rPr>
              <w:t> </w:t>
            </w:r>
          </w:p>
          <w:p w14:paraId="230C416B"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Ongoing evaluation Dec/June</w:t>
            </w:r>
            <w:r w:rsidRPr="0051545A">
              <w:rPr>
                <w:rFonts w:ascii="Arial" w:eastAsia="Times New Roman" w:hAnsi="Arial" w:cs="Arial"/>
                <w:color w:val="000000"/>
                <w:sz w:val="28"/>
                <w:szCs w:val="28"/>
                <w:lang w:eastAsia="en-GB"/>
              </w:rPr>
              <w:t> </w:t>
            </w:r>
          </w:p>
          <w:p w14:paraId="28367020"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w:t>
            </w:r>
            <w:r w:rsidRPr="0051545A">
              <w:rPr>
                <w:rFonts w:ascii="Arial" w:eastAsia="Times New Roman" w:hAnsi="Arial" w:cs="Arial"/>
                <w:color w:val="000000"/>
                <w:sz w:val="20"/>
                <w:szCs w:val="20"/>
                <w:lang w:eastAsia="en-GB"/>
              </w:rPr>
              <w:t>What has been the actual impact/outcome, in particular for the targeted group of learners) </w:t>
            </w:r>
          </w:p>
          <w:p w14:paraId="4B7855B0" w14:textId="77777777" w:rsidR="00A74CCD" w:rsidRPr="0051545A" w:rsidRDefault="00A74CCD"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data/evidence shows the impact of the project/intervention? Refer to outcome statement. Did you achieve what you set out?) </w:t>
            </w:r>
          </w:p>
        </w:tc>
      </w:tr>
      <w:tr w:rsidR="00A74CCD" w:rsidRPr="0051545A" w14:paraId="62061676" w14:textId="77777777" w:rsidTr="00081165">
        <w:trPr>
          <w:trHeight w:val="1545"/>
        </w:trPr>
        <w:tc>
          <w:tcPr>
            <w:tcW w:w="3040" w:type="dxa"/>
            <w:tcBorders>
              <w:top w:val="single" w:sz="6" w:space="0" w:color="auto"/>
              <w:left w:val="double" w:sz="12" w:space="0" w:color="auto"/>
              <w:bottom w:val="double" w:sz="12" w:space="0" w:color="auto"/>
              <w:right w:val="single" w:sz="6" w:space="0" w:color="auto"/>
            </w:tcBorders>
            <w:shd w:val="clear" w:color="auto" w:fill="auto"/>
            <w:hideMark/>
          </w:tcPr>
          <w:p w14:paraId="2A91FD14" w14:textId="06DB9B4C" w:rsidR="00A74CCD" w:rsidRPr="00081165" w:rsidRDefault="00A74CCD"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lastRenderedPageBreak/>
              <w:t> </w:t>
            </w:r>
            <w:r w:rsidR="00616319" w:rsidRPr="00081165">
              <w:rPr>
                <w:rFonts w:ascii="Arial" w:eastAsia="Times New Roman" w:hAnsi="Arial" w:cs="Arial"/>
                <w:sz w:val="22"/>
                <w:szCs w:val="22"/>
                <w:lang w:eastAsia="en-GB"/>
              </w:rPr>
              <w:t>Improve attendance of children living in SIMd1 and 2 by 2.5% over November and December 2025.</w:t>
            </w:r>
          </w:p>
          <w:p w14:paraId="2F66A80B" w14:textId="440714A5" w:rsidR="00616319" w:rsidRPr="00081165" w:rsidRDefault="00616319"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(attendance target of 90%)</w:t>
            </w:r>
          </w:p>
          <w:p w14:paraId="3DA6C28E" w14:textId="77777777" w:rsidR="00A74CCD" w:rsidRPr="00081165" w:rsidRDefault="00A74CCD"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 </w:t>
            </w:r>
          </w:p>
        </w:tc>
        <w:tc>
          <w:tcPr>
            <w:tcW w:w="4431" w:type="dxa"/>
            <w:tcBorders>
              <w:top w:val="single" w:sz="6" w:space="0" w:color="auto"/>
              <w:left w:val="single" w:sz="6" w:space="0" w:color="auto"/>
              <w:bottom w:val="double" w:sz="12" w:space="0" w:color="auto"/>
              <w:right w:val="single" w:sz="6" w:space="0" w:color="auto"/>
            </w:tcBorders>
            <w:shd w:val="clear" w:color="auto" w:fill="auto"/>
            <w:hideMark/>
          </w:tcPr>
          <w:p w14:paraId="4DF31945" w14:textId="73ED2B25" w:rsidR="00A74CCD" w:rsidRPr="00081165" w:rsidRDefault="00A74CCD"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color w:val="0000FF"/>
                <w:sz w:val="22"/>
                <w:szCs w:val="22"/>
                <w:lang w:eastAsia="en-GB"/>
              </w:rPr>
              <w:t> </w:t>
            </w:r>
            <w:r w:rsidR="00616319" w:rsidRPr="00081165">
              <w:rPr>
                <w:rFonts w:ascii="Arial" w:eastAsia="Times New Roman" w:hAnsi="Arial" w:cs="Arial"/>
                <w:sz w:val="22"/>
                <w:szCs w:val="22"/>
                <w:lang w:eastAsia="en-GB"/>
              </w:rPr>
              <w:t>Investigate the root causes of non-attendance over November and December by talking with parents and children affected during session 24 25.</w:t>
            </w:r>
          </w:p>
          <w:p w14:paraId="4FD58B22" w14:textId="3C0FF28D" w:rsidR="00616319" w:rsidRPr="00081165" w:rsidRDefault="00616319"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w:t>
            </w:r>
            <w:r w:rsidR="003B5235" w:rsidRPr="00081165">
              <w:rPr>
                <w:rFonts w:ascii="Arial" w:eastAsia="Times New Roman" w:hAnsi="Arial" w:cs="Arial"/>
                <w:sz w:val="22"/>
                <w:szCs w:val="22"/>
                <w:lang w:eastAsia="en-GB"/>
              </w:rPr>
              <w:t>Anticipatory</w:t>
            </w:r>
            <w:r w:rsidRPr="00081165">
              <w:rPr>
                <w:rFonts w:ascii="Arial" w:eastAsia="Times New Roman" w:hAnsi="Arial" w:cs="Arial"/>
                <w:sz w:val="22"/>
                <w:szCs w:val="22"/>
                <w:lang w:eastAsia="en-GB"/>
              </w:rPr>
              <w:t xml:space="preserve"> causes are around child and parent illness caused by damp housing and cold</w:t>
            </w:r>
            <w:r w:rsidR="003B5235" w:rsidRPr="00081165">
              <w:rPr>
                <w:rFonts w:ascii="Arial" w:eastAsia="Times New Roman" w:hAnsi="Arial" w:cs="Arial"/>
                <w:sz w:val="22"/>
                <w:szCs w:val="22"/>
                <w:lang w:eastAsia="en-GB"/>
              </w:rPr>
              <w:t>;</w:t>
            </w:r>
            <w:r w:rsidRPr="00081165">
              <w:rPr>
                <w:rFonts w:ascii="Arial" w:eastAsia="Times New Roman" w:hAnsi="Arial" w:cs="Arial"/>
                <w:sz w:val="22"/>
                <w:szCs w:val="22"/>
                <w:lang w:eastAsia="en-GB"/>
              </w:rPr>
              <w:t xml:space="preserve"> lack of warm, dry clothing </w:t>
            </w:r>
            <w:r w:rsidR="003B5235" w:rsidRPr="00081165">
              <w:rPr>
                <w:rFonts w:ascii="Arial" w:eastAsia="Times New Roman" w:hAnsi="Arial" w:cs="Arial"/>
                <w:sz w:val="22"/>
                <w:szCs w:val="22"/>
                <w:lang w:eastAsia="en-GB"/>
              </w:rPr>
              <w:t>for journey to school for child and parent)</w:t>
            </w:r>
          </w:p>
          <w:p w14:paraId="1755523D" w14:textId="77777777" w:rsidR="003B5235" w:rsidRPr="00081165" w:rsidRDefault="003B5235" w:rsidP="00903691">
            <w:pPr>
              <w:spacing w:after="0" w:line="240" w:lineRule="auto"/>
              <w:textAlignment w:val="baseline"/>
              <w:rPr>
                <w:rFonts w:ascii="Arial" w:eastAsia="Times New Roman" w:hAnsi="Arial" w:cs="Arial"/>
                <w:sz w:val="22"/>
                <w:szCs w:val="22"/>
                <w:lang w:eastAsia="en-GB"/>
              </w:rPr>
            </w:pPr>
          </w:p>
          <w:p w14:paraId="302EFD3D" w14:textId="7D2930F4" w:rsidR="003B5235" w:rsidRPr="00081165" w:rsidRDefault="003B5235"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Likely measures to put in place:</w:t>
            </w:r>
          </w:p>
          <w:p w14:paraId="526CB1A3" w14:textId="36CBA561" w:rsidR="003B5235" w:rsidRPr="00081165" w:rsidRDefault="003B5235" w:rsidP="003B5235">
            <w:pPr>
              <w:pStyle w:val="ListParagraph"/>
              <w:numPr>
                <w:ilvl w:val="0"/>
                <w:numId w:val="2"/>
              </w:num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Link with housing</w:t>
            </w:r>
          </w:p>
          <w:p w14:paraId="58DE77E2" w14:textId="1089B3F2" w:rsidR="003B5235" w:rsidRPr="00081165" w:rsidRDefault="003B5235" w:rsidP="003B5235">
            <w:pPr>
              <w:pStyle w:val="ListParagraph"/>
              <w:numPr>
                <w:ilvl w:val="0"/>
                <w:numId w:val="2"/>
              </w:num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 xml:space="preserve">Signposting to </w:t>
            </w:r>
            <w:proofErr w:type="spellStart"/>
            <w:r w:rsidRPr="00081165">
              <w:rPr>
                <w:rFonts w:ascii="Arial" w:eastAsia="Times New Roman" w:hAnsi="Arial" w:cs="Arial"/>
                <w:sz w:val="22"/>
                <w:szCs w:val="22"/>
                <w:lang w:eastAsia="en-GB"/>
              </w:rPr>
              <w:t>Cosy</w:t>
            </w:r>
            <w:proofErr w:type="spellEnd"/>
            <w:r w:rsidRPr="00081165">
              <w:rPr>
                <w:rFonts w:ascii="Arial" w:eastAsia="Times New Roman" w:hAnsi="Arial" w:cs="Arial"/>
                <w:sz w:val="22"/>
                <w:szCs w:val="22"/>
                <w:lang w:eastAsia="en-GB"/>
              </w:rPr>
              <w:t xml:space="preserve"> Kingdon</w:t>
            </w:r>
          </w:p>
          <w:p w14:paraId="5F06772D" w14:textId="46A32562" w:rsidR="003B5235" w:rsidRPr="00081165" w:rsidRDefault="003B5235" w:rsidP="003B5235">
            <w:pPr>
              <w:pStyle w:val="ListParagraph"/>
              <w:numPr>
                <w:ilvl w:val="0"/>
                <w:numId w:val="2"/>
              </w:num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Provision of warm spaces and signposting to other warm spaces</w:t>
            </w:r>
          </w:p>
          <w:p w14:paraId="0DD388F1" w14:textId="1AE29E66" w:rsidR="003B5235" w:rsidRPr="00081165" w:rsidRDefault="003B5235" w:rsidP="003B5235">
            <w:pPr>
              <w:pStyle w:val="ListParagraph"/>
              <w:numPr>
                <w:ilvl w:val="0"/>
                <w:numId w:val="2"/>
              </w:num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 xml:space="preserve">Link with Touch pantry </w:t>
            </w:r>
          </w:p>
          <w:p w14:paraId="7540F810" w14:textId="79B35894" w:rsidR="003B5235" w:rsidRPr="00081165" w:rsidRDefault="003B5235" w:rsidP="003B5235">
            <w:pPr>
              <w:pStyle w:val="ListParagraph"/>
              <w:numPr>
                <w:ilvl w:val="0"/>
                <w:numId w:val="2"/>
              </w:num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Referrals to Children’s Clothing Bank prior to winter – coats and warm clothing for at home</w:t>
            </w:r>
          </w:p>
          <w:p w14:paraId="4B44A5E0" w14:textId="798C5130" w:rsidR="003B5235" w:rsidRPr="00081165" w:rsidRDefault="003B5235" w:rsidP="003B5235">
            <w:pPr>
              <w:pStyle w:val="ListParagraph"/>
              <w:numPr>
                <w:ilvl w:val="0"/>
                <w:numId w:val="2"/>
              </w:num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School fleeces and uniform</w:t>
            </w:r>
          </w:p>
          <w:p w14:paraId="150E78F7" w14:textId="1632FB2B" w:rsidR="003B5235" w:rsidRPr="00081165" w:rsidRDefault="003B5235" w:rsidP="003B5235">
            <w:pPr>
              <w:pStyle w:val="ListParagraph"/>
              <w:numPr>
                <w:ilvl w:val="0"/>
                <w:numId w:val="2"/>
              </w:num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Support with warm adult clothing and footwear</w:t>
            </w:r>
          </w:p>
          <w:p w14:paraId="53694C3E" w14:textId="77777777" w:rsidR="003B5235" w:rsidRPr="00081165" w:rsidRDefault="003B5235" w:rsidP="00903691">
            <w:pPr>
              <w:spacing w:after="0" w:line="240" w:lineRule="auto"/>
              <w:textAlignment w:val="baseline"/>
              <w:rPr>
                <w:rFonts w:ascii="Arial" w:eastAsia="Times New Roman" w:hAnsi="Arial" w:cs="Arial"/>
                <w:sz w:val="22"/>
                <w:szCs w:val="22"/>
                <w:lang w:eastAsia="en-GB"/>
              </w:rPr>
            </w:pPr>
          </w:p>
          <w:p w14:paraId="3DFE4967" w14:textId="77777777" w:rsidR="003B5235" w:rsidRPr="00081165" w:rsidRDefault="003B5235" w:rsidP="00903691">
            <w:pPr>
              <w:spacing w:after="0" w:line="240" w:lineRule="auto"/>
              <w:textAlignment w:val="baseline"/>
              <w:rPr>
                <w:rFonts w:ascii="Arial" w:eastAsia="Times New Roman" w:hAnsi="Arial" w:cs="Arial"/>
                <w:sz w:val="22"/>
                <w:szCs w:val="22"/>
                <w:lang w:eastAsia="en-GB"/>
              </w:rPr>
            </w:pPr>
          </w:p>
          <w:p w14:paraId="07608469" w14:textId="510C7C4D" w:rsidR="003B5235" w:rsidRPr="00081165" w:rsidRDefault="003B5235"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Lead person – Linsay Rennie</w:t>
            </w:r>
          </w:p>
          <w:p w14:paraId="02916D92" w14:textId="50D341F3" w:rsidR="003B5235" w:rsidRPr="00081165" w:rsidRDefault="003B5235"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Term 1 prep – barriers and information gathering; identify those likely to be affected this year</w:t>
            </w:r>
          </w:p>
          <w:p w14:paraId="10E20E72" w14:textId="7CBFB912" w:rsidR="003B5235" w:rsidRPr="00081165" w:rsidRDefault="003B5235"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Weekly management attendance meetings over November and December to monitor attendance</w:t>
            </w:r>
          </w:p>
          <w:p w14:paraId="6D556DCE" w14:textId="2AD7A40C" w:rsidR="00616319" w:rsidRPr="00081165" w:rsidRDefault="00616319" w:rsidP="00903691">
            <w:pPr>
              <w:spacing w:after="0" w:line="240" w:lineRule="auto"/>
              <w:textAlignment w:val="baseline"/>
              <w:rPr>
                <w:rFonts w:ascii="Arial" w:eastAsia="Times New Roman" w:hAnsi="Arial" w:cs="Arial"/>
                <w:sz w:val="22"/>
                <w:szCs w:val="22"/>
                <w:lang w:eastAsia="en-GB"/>
              </w:rPr>
            </w:pPr>
          </w:p>
        </w:tc>
        <w:tc>
          <w:tcPr>
            <w:tcW w:w="3316" w:type="dxa"/>
            <w:gridSpan w:val="2"/>
            <w:tcBorders>
              <w:top w:val="single" w:sz="6" w:space="0" w:color="auto"/>
              <w:left w:val="single" w:sz="6" w:space="0" w:color="auto"/>
              <w:bottom w:val="double" w:sz="12" w:space="0" w:color="auto"/>
              <w:right w:val="single" w:sz="6" w:space="0" w:color="auto"/>
            </w:tcBorders>
            <w:shd w:val="clear" w:color="auto" w:fill="auto"/>
            <w:hideMark/>
          </w:tcPr>
          <w:p w14:paraId="2F961732" w14:textId="0D97D2C6" w:rsidR="003B5235" w:rsidRPr="00081165" w:rsidRDefault="003B5235"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Attendance data</w:t>
            </w:r>
          </w:p>
          <w:p w14:paraId="12ADC199" w14:textId="32F27590" w:rsidR="003B5235" w:rsidRPr="00081165" w:rsidRDefault="003B5235"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Parent feedback discussions</w:t>
            </w:r>
          </w:p>
          <w:p w14:paraId="427A63C2" w14:textId="2064D516" w:rsidR="003B5235" w:rsidRPr="00081165" w:rsidRDefault="003B5235"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Attendance meeting minutes which will include parent and pupil views</w:t>
            </w:r>
          </w:p>
          <w:p w14:paraId="6F279AD6" w14:textId="51E21AE3" w:rsidR="003B5235" w:rsidRPr="00081165" w:rsidRDefault="003B5235"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Weekly attendance meetings over November and December to monitor impact</w:t>
            </w:r>
          </w:p>
          <w:p w14:paraId="1160AE75" w14:textId="08F53838" w:rsidR="00A74CCD" w:rsidRPr="00081165" w:rsidRDefault="00A74CCD"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color w:val="0000FF"/>
                <w:sz w:val="22"/>
                <w:szCs w:val="22"/>
                <w:lang w:eastAsia="en-GB"/>
              </w:rPr>
              <w:t> </w:t>
            </w:r>
          </w:p>
          <w:p w14:paraId="45117E31" w14:textId="77777777" w:rsidR="00A74CCD" w:rsidRPr="00081165" w:rsidRDefault="00A74CCD"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color w:val="0000FF"/>
                <w:sz w:val="22"/>
                <w:szCs w:val="22"/>
                <w:lang w:eastAsia="en-GB"/>
              </w:rPr>
              <w:t> </w:t>
            </w:r>
          </w:p>
          <w:p w14:paraId="4B2306C6" w14:textId="77777777" w:rsidR="00A74CCD" w:rsidRPr="00081165" w:rsidRDefault="00A74CCD"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 </w:t>
            </w:r>
          </w:p>
        </w:tc>
        <w:tc>
          <w:tcPr>
            <w:tcW w:w="4230" w:type="dxa"/>
            <w:tcBorders>
              <w:top w:val="single" w:sz="6" w:space="0" w:color="auto"/>
              <w:left w:val="single" w:sz="6" w:space="0" w:color="auto"/>
              <w:bottom w:val="double" w:sz="12" w:space="0" w:color="auto"/>
              <w:right w:val="double" w:sz="12" w:space="0" w:color="auto"/>
            </w:tcBorders>
            <w:shd w:val="clear" w:color="auto" w:fill="auto"/>
            <w:hideMark/>
          </w:tcPr>
          <w:p w14:paraId="19C7C621" w14:textId="77777777" w:rsidR="00A74CCD" w:rsidRPr="003B5235" w:rsidRDefault="00A74CCD" w:rsidP="00903691">
            <w:pPr>
              <w:spacing w:after="0" w:line="240" w:lineRule="auto"/>
              <w:textAlignment w:val="baseline"/>
              <w:rPr>
                <w:rFonts w:eastAsia="Times New Roman" w:cs="Segoe UI"/>
                <w:lang w:eastAsia="en-GB"/>
              </w:rPr>
            </w:pPr>
            <w:r w:rsidRPr="003B5235">
              <w:rPr>
                <w:rFonts w:eastAsia="Times New Roman" w:cs="Arial"/>
                <w:lang w:eastAsia="en-GB"/>
              </w:rPr>
              <w:t> </w:t>
            </w:r>
          </w:p>
          <w:p w14:paraId="20089E8E" w14:textId="77777777" w:rsidR="00A74CCD" w:rsidRPr="003B5235" w:rsidRDefault="00A74CCD" w:rsidP="00903691">
            <w:pPr>
              <w:spacing w:after="0" w:line="240" w:lineRule="auto"/>
              <w:textAlignment w:val="baseline"/>
              <w:rPr>
                <w:rFonts w:eastAsia="Times New Roman" w:cs="Segoe UI"/>
                <w:lang w:eastAsia="en-GB"/>
              </w:rPr>
            </w:pPr>
            <w:r w:rsidRPr="003B5235">
              <w:rPr>
                <w:rFonts w:eastAsia="Times New Roman" w:cs="Arial"/>
                <w:lang w:eastAsia="en-GB"/>
              </w:rPr>
              <w:t> </w:t>
            </w:r>
          </w:p>
          <w:p w14:paraId="6AED6820" w14:textId="77777777" w:rsidR="00A74CCD" w:rsidRPr="003B5235" w:rsidRDefault="00A74CCD" w:rsidP="00903691">
            <w:pPr>
              <w:spacing w:after="0" w:line="240" w:lineRule="auto"/>
              <w:textAlignment w:val="baseline"/>
              <w:rPr>
                <w:rFonts w:eastAsia="Times New Roman" w:cs="Segoe UI"/>
                <w:lang w:eastAsia="en-GB"/>
              </w:rPr>
            </w:pPr>
            <w:r w:rsidRPr="003B5235">
              <w:rPr>
                <w:rFonts w:eastAsia="Times New Roman" w:cs="Arial"/>
                <w:color w:val="0000FF"/>
                <w:lang w:eastAsia="en-GB"/>
              </w:rPr>
              <w:t> </w:t>
            </w:r>
          </w:p>
          <w:p w14:paraId="30C072EF" w14:textId="77777777" w:rsidR="00A74CCD" w:rsidRPr="003B5235" w:rsidRDefault="00A74CCD" w:rsidP="00903691">
            <w:pPr>
              <w:spacing w:after="0" w:line="240" w:lineRule="auto"/>
              <w:textAlignment w:val="baseline"/>
              <w:rPr>
                <w:rFonts w:eastAsia="Times New Roman" w:cs="Segoe UI"/>
                <w:lang w:eastAsia="en-GB"/>
              </w:rPr>
            </w:pPr>
            <w:r w:rsidRPr="003B5235">
              <w:rPr>
                <w:rFonts w:eastAsia="Times New Roman" w:cs="Arial"/>
                <w:lang w:eastAsia="en-GB"/>
              </w:rPr>
              <w:t> </w:t>
            </w:r>
          </w:p>
        </w:tc>
      </w:tr>
    </w:tbl>
    <w:p w14:paraId="0A1BB068" w14:textId="77777777" w:rsidR="00A74CCD" w:rsidRDefault="00A74CCD"/>
    <w:p w14:paraId="2BE83FF1" w14:textId="2A1161B3" w:rsidR="00F010BB" w:rsidRDefault="00F010BB"/>
    <w:p w14:paraId="77DDEAFD" w14:textId="178CD962" w:rsidR="00624A7F" w:rsidRDefault="00624A7F"/>
    <w:p w14:paraId="117C469E" w14:textId="67ADCFD9" w:rsidR="00624A7F" w:rsidRDefault="00624A7F"/>
    <w:p w14:paraId="120B975E" w14:textId="77777777" w:rsidR="00624A7F" w:rsidRDefault="00624A7F"/>
    <w:p w14:paraId="30DC4678" w14:textId="77777777" w:rsidR="00F010BB" w:rsidRDefault="00F010BB"/>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F010BB" w:rsidRPr="0051545A" w14:paraId="1533678C" w14:textId="77777777" w:rsidTr="00903691">
        <w:trPr>
          <w:trHeight w:val="555"/>
        </w:trPr>
        <w:tc>
          <w:tcPr>
            <w:tcW w:w="7634" w:type="dxa"/>
            <w:gridSpan w:val="3"/>
            <w:tcBorders>
              <w:top w:val="double" w:sz="12" w:space="0" w:color="auto"/>
              <w:left w:val="double" w:sz="12" w:space="0" w:color="auto"/>
              <w:bottom w:val="single" w:sz="6" w:space="0" w:color="auto"/>
              <w:right w:val="single" w:sz="6" w:space="0" w:color="auto"/>
            </w:tcBorders>
            <w:shd w:val="clear" w:color="auto" w:fill="auto"/>
            <w:vAlign w:val="center"/>
            <w:hideMark/>
          </w:tcPr>
          <w:p w14:paraId="4033C5E4" w14:textId="77777777" w:rsidR="00F010BB" w:rsidRPr="0051545A" w:rsidRDefault="00F010BB" w:rsidP="0090369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Rationale</w:t>
            </w:r>
            <w:r w:rsidRPr="0051545A">
              <w:rPr>
                <w:rFonts w:ascii="Arial" w:eastAsia="Times New Roman" w:hAnsi="Arial" w:cs="Arial"/>
                <w:color w:val="000000"/>
                <w:sz w:val="28"/>
                <w:szCs w:val="28"/>
                <w:lang w:eastAsia="en-GB"/>
              </w:rPr>
              <w:t> </w:t>
            </w:r>
          </w:p>
          <w:p w14:paraId="1D3B8243" w14:textId="77777777" w:rsidR="00F010BB" w:rsidRPr="0051545A" w:rsidRDefault="00F010BB" w:rsidP="0090369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poverty-related attainment gap are you trying to address?)  </w:t>
            </w:r>
          </w:p>
          <w:p w14:paraId="0F01144B" w14:textId="77777777" w:rsidR="00F010BB" w:rsidRPr="0051545A" w:rsidRDefault="00F010BB" w:rsidP="00903691">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This does not all have to have a PEF cost</w:t>
            </w:r>
            <w:r w:rsidRPr="0051545A">
              <w:rPr>
                <w:rFonts w:ascii="Arial" w:eastAsia="Times New Roman" w:hAnsi="Arial" w:cs="Arial"/>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shd w:val="clear" w:color="auto" w:fill="auto"/>
            <w:vAlign w:val="center"/>
            <w:hideMark/>
          </w:tcPr>
          <w:p w14:paraId="37742D74" w14:textId="416679EC" w:rsidR="00F010BB" w:rsidRDefault="00F010BB" w:rsidP="00903691">
            <w:pPr>
              <w:spacing w:after="0" w:line="240" w:lineRule="auto"/>
              <w:textAlignment w:val="baseline"/>
              <w:rPr>
                <w:rFonts w:ascii="Arial" w:eastAsia="Times New Roman" w:hAnsi="Arial" w:cs="Arial"/>
                <w:b/>
                <w:bCs/>
                <w:color w:val="000000"/>
                <w:sz w:val="28"/>
                <w:szCs w:val="28"/>
                <w:lang w:eastAsia="en-GB"/>
              </w:rPr>
            </w:pPr>
            <w:r w:rsidRPr="0051545A">
              <w:rPr>
                <w:rFonts w:ascii="Arial" w:eastAsia="Times New Roman" w:hAnsi="Arial" w:cs="Arial"/>
                <w:b/>
                <w:bCs/>
                <w:color w:val="000000"/>
                <w:sz w:val="28"/>
                <w:szCs w:val="28"/>
                <w:lang w:eastAsia="en-GB"/>
              </w:rPr>
              <w:t>Amount of Fund allocated (if appropriate) £</w:t>
            </w:r>
            <w:r w:rsidR="00DD0048">
              <w:rPr>
                <w:rFonts w:ascii="Arial" w:eastAsia="Times New Roman" w:hAnsi="Arial" w:cs="Arial"/>
                <w:b/>
                <w:bCs/>
                <w:color w:val="000000"/>
                <w:sz w:val="28"/>
                <w:szCs w:val="28"/>
                <w:lang w:eastAsia="en-GB"/>
              </w:rPr>
              <w:t>18650</w:t>
            </w:r>
          </w:p>
          <w:p w14:paraId="555767BC" w14:textId="3EFBE600" w:rsidR="00F010BB" w:rsidRPr="0051545A" w:rsidRDefault="00560F75" w:rsidP="00560F75">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(+£10,000 for ongoing support in Term 4 – staffing costs)</w:t>
            </w:r>
          </w:p>
        </w:tc>
      </w:tr>
      <w:tr w:rsidR="00F010BB" w:rsidRPr="0051545A" w14:paraId="6AA74659" w14:textId="77777777" w:rsidTr="00903691">
        <w:trPr>
          <w:trHeight w:val="840"/>
        </w:trPr>
        <w:tc>
          <w:tcPr>
            <w:tcW w:w="15017" w:type="dxa"/>
            <w:gridSpan w:val="5"/>
            <w:tcBorders>
              <w:top w:val="single" w:sz="6" w:space="0" w:color="auto"/>
              <w:left w:val="double" w:sz="12" w:space="0" w:color="auto"/>
              <w:bottom w:val="single" w:sz="6" w:space="0" w:color="auto"/>
              <w:right w:val="double" w:sz="12" w:space="0" w:color="auto"/>
            </w:tcBorders>
            <w:shd w:val="clear" w:color="auto" w:fill="auto"/>
            <w:vAlign w:val="center"/>
            <w:hideMark/>
          </w:tcPr>
          <w:p w14:paraId="2CB2BF9F" w14:textId="4AFB9AF1" w:rsidR="00F010BB" w:rsidRPr="00081165" w:rsidRDefault="00F010BB"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Over the last 5 years we have seen an increasing number of children living in SIMd1 and 2 and/ or in receipt of free school meals. As this has increased we have also seen an increase the attainment gap</w:t>
            </w:r>
            <w:r w:rsidR="005F6DF9" w:rsidRPr="00081165">
              <w:rPr>
                <w:rFonts w:ascii="Arial" w:eastAsia="Times New Roman" w:hAnsi="Arial" w:cs="Arial"/>
                <w:sz w:val="22"/>
                <w:szCs w:val="22"/>
                <w:lang w:eastAsia="en-GB"/>
              </w:rPr>
              <w:t>.</w:t>
            </w:r>
          </w:p>
          <w:p w14:paraId="0882F3B9" w14:textId="77777777" w:rsidR="00537050" w:rsidRPr="00081165" w:rsidRDefault="00537050" w:rsidP="00903691">
            <w:pPr>
              <w:spacing w:after="0" w:line="240" w:lineRule="auto"/>
              <w:textAlignment w:val="baseline"/>
              <w:rPr>
                <w:rFonts w:ascii="Arial" w:eastAsia="Times New Roman" w:hAnsi="Arial" w:cs="Arial"/>
                <w:sz w:val="22"/>
                <w:szCs w:val="22"/>
                <w:lang w:eastAsia="en-GB"/>
              </w:rPr>
            </w:pPr>
          </w:p>
          <w:p w14:paraId="25352E4C" w14:textId="34966A58" w:rsidR="00537050" w:rsidRPr="00081165" w:rsidRDefault="00537050"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 xml:space="preserve">Link to </w:t>
            </w:r>
            <w:r w:rsidR="005F6DF9" w:rsidRPr="00081165">
              <w:rPr>
                <w:rFonts w:ascii="Arial" w:eastAsia="Times New Roman" w:hAnsi="Arial" w:cs="Arial"/>
                <w:sz w:val="22"/>
                <w:szCs w:val="22"/>
                <w:lang w:eastAsia="en-GB"/>
              </w:rPr>
              <w:t>Closing</w:t>
            </w:r>
            <w:r w:rsidRPr="00081165">
              <w:rPr>
                <w:rFonts w:ascii="Arial" w:eastAsia="Times New Roman" w:hAnsi="Arial" w:cs="Arial"/>
                <w:sz w:val="22"/>
                <w:szCs w:val="22"/>
                <w:lang w:eastAsia="en-GB"/>
              </w:rPr>
              <w:t xml:space="preserve"> the </w:t>
            </w:r>
            <w:r w:rsidR="005F6DF9" w:rsidRPr="00081165">
              <w:rPr>
                <w:rFonts w:ascii="Arial" w:eastAsia="Times New Roman" w:hAnsi="Arial" w:cs="Arial"/>
                <w:sz w:val="22"/>
                <w:szCs w:val="22"/>
                <w:lang w:eastAsia="en-GB"/>
              </w:rPr>
              <w:t>G</w:t>
            </w:r>
            <w:r w:rsidRPr="00081165">
              <w:rPr>
                <w:rFonts w:ascii="Arial" w:eastAsia="Times New Roman" w:hAnsi="Arial" w:cs="Arial"/>
                <w:sz w:val="22"/>
                <w:szCs w:val="22"/>
                <w:lang w:eastAsia="en-GB"/>
              </w:rPr>
              <w:t>ap additional teacher time – School Improvement Plan</w:t>
            </w:r>
          </w:p>
          <w:p w14:paraId="29729975" w14:textId="77777777" w:rsidR="00F010BB" w:rsidRPr="00081165" w:rsidRDefault="00F010BB" w:rsidP="00903691">
            <w:pPr>
              <w:spacing w:after="0" w:line="240" w:lineRule="auto"/>
              <w:textAlignment w:val="baseline"/>
              <w:rPr>
                <w:rFonts w:ascii="Arial" w:eastAsia="Times New Roman" w:hAnsi="Arial" w:cs="Arial"/>
                <w:sz w:val="22"/>
                <w:szCs w:val="22"/>
                <w:lang w:eastAsia="en-GB"/>
              </w:rPr>
            </w:pPr>
          </w:p>
          <w:tbl>
            <w:tblPr>
              <w:tblStyle w:val="TableGrid"/>
              <w:tblW w:w="0" w:type="auto"/>
              <w:tblLook w:val="04A0" w:firstRow="1" w:lastRow="0" w:firstColumn="1" w:lastColumn="0" w:noHBand="0" w:noVBand="1"/>
            </w:tblPr>
            <w:tblGrid>
              <w:gridCol w:w="2789"/>
              <w:gridCol w:w="2789"/>
              <w:gridCol w:w="2790"/>
              <w:gridCol w:w="2790"/>
              <w:gridCol w:w="2790"/>
            </w:tblGrid>
            <w:tr w:rsidR="00F010BB" w:rsidRPr="00081165" w14:paraId="0D95CAC7" w14:textId="77777777" w:rsidTr="00903691">
              <w:tc>
                <w:tcPr>
                  <w:tcW w:w="2789" w:type="dxa"/>
                </w:tcPr>
                <w:p w14:paraId="546660C1" w14:textId="77777777" w:rsidR="00F010BB" w:rsidRPr="00081165" w:rsidRDefault="00F010BB" w:rsidP="00F010BB">
                  <w:pPr>
                    <w:rPr>
                      <w:rFonts w:ascii="Arial" w:hAnsi="Arial" w:cs="Arial"/>
                      <w:b/>
                      <w:sz w:val="22"/>
                      <w:szCs w:val="22"/>
                    </w:rPr>
                  </w:pPr>
                  <w:r w:rsidRPr="00081165">
                    <w:rPr>
                      <w:rFonts w:ascii="Arial" w:hAnsi="Arial" w:cs="Arial"/>
                      <w:b/>
                      <w:sz w:val="22"/>
                      <w:szCs w:val="22"/>
                    </w:rPr>
                    <w:t>Whole school</w:t>
                  </w:r>
                </w:p>
              </w:tc>
              <w:tc>
                <w:tcPr>
                  <w:tcW w:w="2789" w:type="dxa"/>
                </w:tcPr>
                <w:p w14:paraId="769AB0E4" w14:textId="77777777" w:rsidR="00F010BB" w:rsidRPr="00081165" w:rsidRDefault="00F010BB" w:rsidP="00F010BB">
                  <w:pPr>
                    <w:rPr>
                      <w:rFonts w:ascii="Arial" w:hAnsi="Arial" w:cs="Arial"/>
                      <w:b/>
                      <w:sz w:val="22"/>
                      <w:szCs w:val="22"/>
                    </w:rPr>
                  </w:pPr>
                  <w:r w:rsidRPr="00081165">
                    <w:rPr>
                      <w:rFonts w:ascii="Arial" w:hAnsi="Arial" w:cs="Arial"/>
                      <w:b/>
                      <w:sz w:val="22"/>
                      <w:szCs w:val="22"/>
                    </w:rPr>
                    <w:t>Reading</w:t>
                  </w:r>
                </w:p>
              </w:tc>
              <w:tc>
                <w:tcPr>
                  <w:tcW w:w="2790" w:type="dxa"/>
                </w:tcPr>
                <w:p w14:paraId="2781006F" w14:textId="77777777" w:rsidR="00F010BB" w:rsidRPr="00081165" w:rsidRDefault="00F010BB" w:rsidP="00F010BB">
                  <w:pPr>
                    <w:rPr>
                      <w:rFonts w:ascii="Arial" w:hAnsi="Arial" w:cs="Arial"/>
                      <w:b/>
                      <w:sz w:val="22"/>
                      <w:szCs w:val="22"/>
                    </w:rPr>
                  </w:pPr>
                  <w:r w:rsidRPr="00081165">
                    <w:rPr>
                      <w:rFonts w:ascii="Arial" w:hAnsi="Arial" w:cs="Arial"/>
                      <w:b/>
                      <w:sz w:val="22"/>
                      <w:szCs w:val="22"/>
                    </w:rPr>
                    <w:t>Writing</w:t>
                  </w:r>
                </w:p>
              </w:tc>
              <w:tc>
                <w:tcPr>
                  <w:tcW w:w="2790" w:type="dxa"/>
                </w:tcPr>
                <w:p w14:paraId="1AFA617E" w14:textId="77777777" w:rsidR="00F010BB" w:rsidRPr="00081165" w:rsidRDefault="00F010BB" w:rsidP="00F010BB">
                  <w:pPr>
                    <w:rPr>
                      <w:rFonts w:ascii="Arial" w:hAnsi="Arial" w:cs="Arial"/>
                      <w:b/>
                      <w:sz w:val="22"/>
                      <w:szCs w:val="22"/>
                    </w:rPr>
                  </w:pPr>
                  <w:r w:rsidRPr="00081165">
                    <w:rPr>
                      <w:rFonts w:ascii="Arial" w:hAnsi="Arial" w:cs="Arial"/>
                      <w:b/>
                      <w:sz w:val="22"/>
                      <w:szCs w:val="22"/>
                    </w:rPr>
                    <w:t>Listening/ Talking</w:t>
                  </w:r>
                </w:p>
              </w:tc>
              <w:tc>
                <w:tcPr>
                  <w:tcW w:w="2790" w:type="dxa"/>
                </w:tcPr>
                <w:p w14:paraId="127AD6F9" w14:textId="77777777" w:rsidR="00F010BB" w:rsidRPr="00081165" w:rsidRDefault="00F010BB" w:rsidP="00F010BB">
                  <w:pPr>
                    <w:rPr>
                      <w:rFonts w:ascii="Arial" w:hAnsi="Arial" w:cs="Arial"/>
                      <w:b/>
                      <w:sz w:val="22"/>
                      <w:szCs w:val="22"/>
                    </w:rPr>
                  </w:pPr>
                  <w:r w:rsidRPr="00081165">
                    <w:rPr>
                      <w:rFonts w:ascii="Arial" w:hAnsi="Arial" w:cs="Arial"/>
                      <w:b/>
                      <w:sz w:val="22"/>
                      <w:szCs w:val="22"/>
                    </w:rPr>
                    <w:t>Numeracy</w:t>
                  </w:r>
                </w:p>
              </w:tc>
            </w:tr>
            <w:tr w:rsidR="00F010BB" w:rsidRPr="00081165" w14:paraId="1DC0BAD0" w14:textId="77777777" w:rsidTr="00903691">
              <w:tc>
                <w:tcPr>
                  <w:tcW w:w="2789" w:type="dxa"/>
                </w:tcPr>
                <w:p w14:paraId="4690F03C" w14:textId="77777777" w:rsidR="00F010BB" w:rsidRPr="00081165" w:rsidRDefault="00F010BB" w:rsidP="00F010BB">
                  <w:pPr>
                    <w:rPr>
                      <w:rFonts w:ascii="Arial" w:hAnsi="Arial" w:cs="Arial"/>
                      <w:sz w:val="22"/>
                      <w:szCs w:val="22"/>
                    </w:rPr>
                  </w:pPr>
                  <w:proofErr w:type="spellStart"/>
                  <w:r w:rsidRPr="00081165">
                    <w:rPr>
                      <w:rFonts w:ascii="Arial" w:hAnsi="Arial" w:cs="Arial"/>
                      <w:sz w:val="22"/>
                      <w:szCs w:val="22"/>
                    </w:rPr>
                    <w:t>SIMd</w:t>
                  </w:r>
                  <w:proofErr w:type="spellEnd"/>
                  <w:r w:rsidRPr="00081165">
                    <w:rPr>
                      <w:rFonts w:ascii="Arial" w:hAnsi="Arial" w:cs="Arial"/>
                      <w:sz w:val="22"/>
                      <w:szCs w:val="22"/>
                    </w:rPr>
                    <w:t xml:space="preserve"> 1,2 (51.3%)</w:t>
                  </w:r>
                </w:p>
              </w:tc>
              <w:tc>
                <w:tcPr>
                  <w:tcW w:w="2789" w:type="dxa"/>
                </w:tcPr>
                <w:p w14:paraId="415D13A0" w14:textId="77777777" w:rsidR="00F010BB" w:rsidRPr="00081165" w:rsidRDefault="00F010BB" w:rsidP="00F010BB">
                  <w:pPr>
                    <w:rPr>
                      <w:rFonts w:ascii="Arial" w:hAnsi="Arial" w:cs="Arial"/>
                      <w:sz w:val="22"/>
                      <w:szCs w:val="22"/>
                    </w:rPr>
                  </w:pPr>
                  <w:r w:rsidRPr="00081165">
                    <w:rPr>
                      <w:rFonts w:ascii="Arial" w:hAnsi="Arial" w:cs="Arial"/>
                      <w:sz w:val="22"/>
                      <w:szCs w:val="22"/>
                    </w:rPr>
                    <w:t>76%</w:t>
                  </w:r>
                </w:p>
              </w:tc>
              <w:tc>
                <w:tcPr>
                  <w:tcW w:w="2790" w:type="dxa"/>
                </w:tcPr>
                <w:p w14:paraId="2AC6B532" w14:textId="77777777" w:rsidR="00F010BB" w:rsidRPr="00081165" w:rsidRDefault="00F010BB" w:rsidP="00F010BB">
                  <w:pPr>
                    <w:rPr>
                      <w:rFonts w:ascii="Arial" w:hAnsi="Arial" w:cs="Arial"/>
                      <w:sz w:val="22"/>
                      <w:szCs w:val="22"/>
                    </w:rPr>
                  </w:pPr>
                  <w:r w:rsidRPr="00081165">
                    <w:rPr>
                      <w:rFonts w:ascii="Arial" w:hAnsi="Arial" w:cs="Arial"/>
                      <w:sz w:val="22"/>
                      <w:szCs w:val="22"/>
                    </w:rPr>
                    <w:t>61.9%</w:t>
                  </w:r>
                </w:p>
              </w:tc>
              <w:tc>
                <w:tcPr>
                  <w:tcW w:w="2790" w:type="dxa"/>
                </w:tcPr>
                <w:p w14:paraId="2422115D" w14:textId="77777777" w:rsidR="00F010BB" w:rsidRPr="00081165" w:rsidRDefault="00F010BB" w:rsidP="00F010BB">
                  <w:pPr>
                    <w:rPr>
                      <w:rFonts w:ascii="Arial" w:hAnsi="Arial" w:cs="Arial"/>
                      <w:sz w:val="22"/>
                      <w:szCs w:val="22"/>
                    </w:rPr>
                  </w:pPr>
                  <w:r w:rsidRPr="00081165">
                    <w:rPr>
                      <w:rFonts w:ascii="Arial" w:hAnsi="Arial" w:cs="Arial"/>
                      <w:sz w:val="22"/>
                      <w:szCs w:val="22"/>
                    </w:rPr>
                    <w:t>86%</w:t>
                  </w:r>
                </w:p>
              </w:tc>
              <w:tc>
                <w:tcPr>
                  <w:tcW w:w="2790" w:type="dxa"/>
                </w:tcPr>
                <w:p w14:paraId="4A00DA3A" w14:textId="77777777" w:rsidR="00F010BB" w:rsidRPr="00081165" w:rsidRDefault="00F010BB" w:rsidP="00F010BB">
                  <w:pPr>
                    <w:rPr>
                      <w:rFonts w:ascii="Arial" w:hAnsi="Arial" w:cs="Arial"/>
                      <w:sz w:val="22"/>
                      <w:szCs w:val="22"/>
                    </w:rPr>
                  </w:pPr>
                  <w:r w:rsidRPr="00081165">
                    <w:rPr>
                      <w:rFonts w:ascii="Arial" w:hAnsi="Arial" w:cs="Arial"/>
                      <w:sz w:val="22"/>
                      <w:szCs w:val="22"/>
                    </w:rPr>
                    <w:t>72.9%</w:t>
                  </w:r>
                </w:p>
              </w:tc>
            </w:tr>
            <w:tr w:rsidR="00F010BB" w:rsidRPr="00081165" w14:paraId="07EAC6AE" w14:textId="77777777" w:rsidTr="00903691">
              <w:tc>
                <w:tcPr>
                  <w:tcW w:w="2789" w:type="dxa"/>
                </w:tcPr>
                <w:p w14:paraId="05CB8BF1" w14:textId="77777777" w:rsidR="00F010BB" w:rsidRPr="00081165" w:rsidRDefault="00F010BB" w:rsidP="00F010BB">
                  <w:pPr>
                    <w:rPr>
                      <w:rFonts w:ascii="Arial" w:hAnsi="Arial" w:cs="Arial"/>
                      <w:sz w:val="22"/>
                      <w:szCs w:val="22"/>
                    </w:rPr>
                  </w:pPr>
                  <w:proofErr w:type="spellStart"/>
                  <w:r w:rsidRPr="00081165">
                    <w:rPr>
                      <w:rFonts w:ascii="Arial" w:hAnsi="Arial" w:cs="Arial"/>
                      <w:sz w:val="22"/>
                      <w:szCs w:val="22"/>
                    </w:rPr>
                    <w:t>Simd</w:t>
                  </w:r>
                  <w:proofErr w:type="spellEnd"/>
                  <w:r w:rsidRPr="00081165">
                    <w:rPr>
                      <w:rFonts w:ascii="Arial" w:hAnsi="Arial" w:cs="Arial"/>
                      <w:sz w:val="22"/>
                      <w:szCs w:val="22"/>
                    </w:rPr>
                    <w:t xml:space="preserve"> 9,10 (30.8%)</w:t>
                  </w:r>
                </w:p>
              </w:tc>
              <w:tc>
                <w:tcPr>
                  <w:tcW w:w="2789" w:type="dxa"/>
                </w:tcPr>
                <w:p w14:paraId="6CC44FE0" w14:textId="77777777" w:rsidR="00F010BB" w:rsidRPr="00081165" w:rsidRDefault="00F010BB" w:rsidP="00F010BB">
                  <w:pPr>
                    <w:rPr>
                      <w:rFonts w:ascii="Arial" w:hAnsi="Arial" w:cs="Arial"/>
                      <w:sz w:val="22"/>
                      <w:szCs w:val="22"/>
                    </w:rPr>
                  </w:pPr>
                  <w:r w:rsidRPr="00081165">
                    <w:rPr>
                      <w:rFonts w:ascii="Arial" w:hAnsi="Arial" w:cs="Arial"/>
                      <w:sz w:val="22"/>
                      <w:szCs w:val="22"/>
                    </w:rPr>
                    <w:t>84.5%</w:t>
                  </w:r>
                </w:p>
              </w:tc>
              <w:tc>
                <w:tcPr>
                  <w:tcW w:w="2790" w:type="dxa"/>
                </w:tcPr>
                <w:p w14:paraId="42392E79" w14:textId="77777777" w:rsidR="00F010BB" w:rsidRPr="00081165" w:rsidRDefault="00F010BB" w:rsidP="00F010BB">
                  <w:pPr>
                    <w:rPr>
                      <w:rFonts w:ascii="Arial" w:hAnsi="Arial" w:cs="Arial"/>
                      <w:sz w:val="22"/>
                      <w:szCs w:val="22"/>
                    </w:rPr>
                  </w:pPr>
                  <w:r w:rsidRPr="00081165">
                    <w:rPr>
                      <w:rFonts w:ascii="Arial" w:hAnsi="Arial" w:cs="Arial"/>
                      <w:sz w:val="22"/>
                      <w:szCs w:val="22"/>
                    </w:rPr>
                    <w:t>76%</w:t>
                  </w:r>
                </w:p>
              </w:tc>
              <w:tc>
                <w:tcPr>
                  <w:tcW w:w="2790" w:type="dxa"/>
                </w:tcPr>
                <w:p w14:paraId="26B8B997" w14:textId="77777777" w:rsidR="00F010BB" w:rsidRPr="00081165" w:rsidRDefault="00F010BB" w:rsidP="00F010BB">
                  <w:pPr>
                    <w:rPr>
                      <w:rFonts w:ascii="Arial" w:hAnsi="Arial" w:cs="Arial"/>
                      <w:sz w:val="22"/>
                      <w:szCs w:val="22"/>
                    </w:rPr>
                  </w:pPr>
                  <w:r w:rsidRPr="00081165">
                    <w:rPr>
                      <w:rFonts w:ascii="Arial" w:hAnsi="Arial" w:cs="Arial"/>
                      <w:sz w:val="22"/>
                      <w:szCs w:val="22"/>
                    </w:rPr>
                    <w:t>91.5%</w:t>
                  </w:r>
                </w:p>
              </w:tc>
              <w:tc>
                <w:tcPr>
                  <w:tcW w:w="2790" w:type="dxa"/>
                </w:tcPr>
                <w:p w14:paraId="17B4A356" w14:textId="77777777" w:rsidR="00F010BB" w:rsidRPr="00081165" w:rsidRDefault="00F010BB" w:rsidP="00F010BB">
                  <w:pPr>
                    <w:rPr>
                      <w:rFonts w:ascii="Arial" w:hAnsi="Arial" w:cs="Arial"/>
                      <w:sz w:val="22"/>
                      <w:szCs w:val="22"/>
                    </w:rPr>
                  </w:pPr>
                  <w:r w:rsidRPr="00081165">
                    <w:rPr>
                      <w:rFonts w:ascii="Arial" w:hAnsi="Arial" w:cs="Arial"/>
                      <w:sz w:val="22"/>
                      <w:szCs w:val="22"/>
                    </w:rPr>
                    <w:t>81.7%</w:t>
                  </w:r>
                </w:p>
              </w:tc>
            </w:tr>
            <w:tr w:rsidR="00F010BB" w:rsidRPr="00081165" w14:paraId="646CE4A0" w14:textId="77777777" w:rsidTr="00903691">
              <w:tc>
                <w:tcPr>
                  <w:tcW w:w="2789" w:type="dxa"/>
                </w:tcPr>
                <w:p w14:paraId="54D4A9AC" w14:textId="77777777" w:rsidR="00F010BB" w:rsidRPr="00081165" w:rsidRDefault="00F010BB" w:rsidP="00F010BB">
                  <w:pPr>
                    <w:rPr>
                      <w:rFonts w:ascii="Arial" w:hAnsi="Arial" w:cs="Arial"/>
                      <w:sz w:val="22"/>
                      <w:szCs w:val="22"/>
                    </w:rPr>
                  </w:pPr>
                  <w:r w:rsidRPr="00081165">
                    <w:rPr>
                      <w:rFonts w:ascii="Arial" w:hAnsi="Arial" w:cs="Arial"/>
                      <w:sz w:val="22"/>
                      <w:szCs w:val="22"/>
                    </w:rPr>
                    <w:t>FSM (31.7%)</w:t>
                  </w:r>
                </w:p>
              </w:tc>
              <w:tc>
                <w:tcPr>
                  <w:tcW w:w="2789" w:type="dxa"/>
                </w:tcPr>
                <w:p w14:paraId="7D7E089E" w14:textId="77777777" w:rsidR="00F010BB" w:rsidRPr="00081165" w:rsidRDefault="00F010BB" w:rsidP="00F010BB">
                  <w:pPr>
                    <w:rPr>
                      <w:rFonts w:ascii="Arial" w:hAnsi="Arial" w:cs="Arial"/>
                      <w:sz w:val="22"/>
                      <w:szCs w:val="22"/>
                    </w:rPr>
                  </w:pPr>
                  <w:r w:rsidRPr="00081165">
                    <w:rPr>
                      <w:rFonts w:ascii="Arial" w:hAnsi="Arial" w:cs="Arial"/>
                      <w:sz w:val="22"/>
                      <w:szCs w:val="22"/>
                    </w:rPr>
                    <w:t>63%</w:t>
                  </w:r>
                </w:p>
              </w:tc>
              <w:tc>
                <w:tcPr>
                  <w:tcW w:w="2790" w:type="dxa"/>
                </w:tcPr>
                <w:p w14:paraId="671D8D22" w14:textId="77777777" w:rsidR="00F010BB" w:rsidRPr="00081165" w:rsidRDefault="00F010BB" w:rsidP="00F010BB">
                  <w:pPr>
                    <w:rPr>
                      <w:rFonts w:ascii="Arial" w:hAnsi="Arial" w:cs="Arial"/>
                      <w:sz w:val="22"/>
                      <w:szCs w:val="22"/>
                    </w:rPr>
                  </w:pPr>
                  <w:r w:rsidRPr="00081165">
                    <w:rPr>
                      <w:rFonts w:ascii="Arial" w:hAnsi="Arial" w:cs="Arial"/>
                      <w:sz w:val="22"/>
                      <w:szCs w:val="22"/>
                    </w:rPr>
                    <w:t>53%</w:t>
                  </w:r>
                </w:p>
              </w:tc>
              <w:tc>
                <w:tcPr>
                  <w:tcW w:w="2790" w:type="dxa"/>
                </w:tcPr>
                <w:p w14:paraId="73BC3561" w14:textId="77777777" w:rsidR="00F010BB" w:rsidRPr="00081165" w:rsidRDefault="00F010BB" w:rsidP="00F010BB">
                  <w:pPr>
                    <w:rPr>
                      <w:rFonts w:ascii="Arial" w:hAnsi="Arial" w:cs="Arial"/>
                      <w:sz w:val="22"/>
                      <w:szCs w:val="22"/>
                    </w:rPr>
                  </w:pPr>
                  <w:r w:rsidRPr="00081165">
                    <w:rPr>
                      <w:rFonts w:ascii="Arial" w:hAnsi="Arial" w:cs="Arial"/>
                      <w:sz w:val="22"/>
                      <w:szCs w:val="22"/>
                    </w:rPr>
                    <w:t>82%</w:t>
                  </w:r>
                </w:p>
              </w:tc>
              <w:tc>
                <w:tcPr>
                  <w:tcW w:w="2790" w:type="dxa"/>
                </w:tcPr>
                <w:p w14:paraId="1658B6E3" w14:textId="77777777" w:rsidR="00F010BB" w:rsidRPr="00081165" w:rsidRDefault="00F010BB" w:rsidP="00F010BB">
                  <w:pPr>
                    <w:rPr>
                      <w:rFonts w:ascii="Arial" w:hAnsi="Arial" w:cs="Arial"/>
                      <w:sz w:val="22"/>
                      <w:szCs w:val="22"/>
                    </w:rPr>
                  </w:pPr>
                  <w:r w:rsidRPr="00081165">
                    <w:rPr>
                      <w:rFonts w:ascii="Arial" w:hAnsi="Arial" w:cs="Arial"/>
                      <w:sz w:val="22"/>
                      <w:szCs w:val="22"/>
                    </w:rPr>
                    <w:t>61.6%</w:t>
                  </w:r>
                </w:p>
              </w:tc>
            </w:tr>
            <w:tr w:rsidR="00537050" w:rsidRPr="00081165" w14:paraId="5A5B1791" w14:textId="77777777" w:rsidTr="003F61A8">
              <w:tc>
                <w:tcPr>
                  <w:tcW w:w="2789" w:type="dxa"/>
                </w:tcPr>
                <w:p w14:paraId="0B451BF1" w14:textId="6439F327" w:rsidR="00537050" w:rsidRPr="00081165" w:rsidRDefault="00537050" w:rsidP="00F010BB">
                  <w:pPr>
                    <w:rPr>
                      <w:rFonts w:ascii="Arial" w:hAnsi="Arial" w:cs="Arial"/>
                      <w:sz w:val="22"/>
                      <w:szCs w:val="22"/>
                    </w:rPr>
                  </w:pPr>
                  <w:r w:rsidRPr="00081165">
                    <w:rPr>
                      <w:rFonts w:ascii="Arial" w:hAnsi="Arial" w:cs="Arial"/>
                      <w:sz w:val="22"/>
                      <w:szCs w:val="22"/>
                    </w:rPr>
                    <w:t>Stretch target</w:t>
                  </w:r>
                </w:p>
              </w:tc>
              <w:tc>
                <w:tcPr>
                  <w:tcW w:w="8369" w:type="dxa"/>
                  <w:gridSpan w:val="3"/>
                </w:tcPr>
                <w:p w14:paraId="13C06227" w14:textId="089C80E2" w:rsidR="00537050" w:rsidRPr="00081165" w:rsidRDefault="00537050" w:rsidP="00F010BB">
                  <w:pPr>
                    <w:rPr>
                      <w:rFonts w:ascii="Arial" w:hAnsi="Arial" w:cs="Arial"/>
                      <w:sz w:val="22"/>
                      <w:szCs w:val="22"/>
                    </w:rPr>
                  </w:pPr>
                  <w:r w:rsidRPr="00081165">
                    <w:rPr>
                      <w:rFonts w:ascii="Arial" w:hAnsi="Arial" w:cs="Arial"/>
                      <w:sz w:val="22"/>
                      <w:szCs w:val="22"/>
                    </w:rPr>
                    <w:t>P1 78.9%; P4 63.6%; P7 63.6%</w:t>
                  </w:r>
                </w:p>
              </w:tc>
              <w:tc>
                <w:tcPr>
                  <w:tcW w:w="2790" w:type="dxa"/>
                </w:tcPr>
                <w:p w14:paraId="56822891" w14:textId="24B6131C" w:rsidR="00537050" w:rsidRPr="00081165" w:rsidRDefault="00537050" w:rsidP="00F010BB">
                  <w:pPr>
                    <w:rPr>
                      <w:rFonts w:ascii="Arial" w:hAnsi="Arial" w:cs="Arial"/>
                      <w:sz w:val="22"/>
                      <w:szCs w:val="22"/>
                    </w:rPr>
                  </w:pPr>
                  <w:r w:rsidRPr="00081165">
                    <w:rPr>
                      <w:rFonts w:ascii="Arial" w:hAnsi="Arial" w:cs="Arial"/>
                      <w:sz w:val="22"/>
                      <w:szCs w:val="22"/>
                    </w:rPr>
                    <w:t>P1 86.8%; P4 69.7%; P7 68.2%</w:t>
                  </w:r>
                </w:p>
              </w:tc>
            </w:tr>
          </w:tbl>
          <w:p w14:paraId="175907A9" w14:textId="4D87AC8B" w:rsidR="00624A7F" w:rsidRDefault="00624A7F" w:rsidP="00903691">
            <w:pPr>
              <w:spacing w:after="0" w:line="240" w:lineRule="auto"/>
              <w:textAlignment w:val="baseline"/>
              <w:rPr>
                <w:rFonts w:ascii="Aptos" w:eastAsia="Times New Roman" w:hAnsi="Aptos" w:cs="Segoe UI"/>
                <w:lang w:eastAsia="en-GB"/>
              </w:rPr>
            </w:pPr>
          </w:p>
          <w:p w14:paraId="68F33BA4" w14:textId="5643F90A" w:rsidR="00624A7F" w:rsidRDefault="00624A7F" w:rsidP="00903691">
            <w:pPr>
              <w:spacing w:after="0" w:line="240" w:lineRule="auto"/>
              <w:textAlignment w:val="baseline"/>
              <w:rPr>
                <w:rFonts w:ascii="Aptos" w:eastAsia="Times New Roman" w:hAnsi="Aptos" w:cs="Segoe UI"/>
                <w:lang w:eastAsia="en-GB"/>
              </w:rPr>
            </w:pPr>
          </w:p>
          <w:p w14:paraId="08B5D525" w14:textId="42BE9E1E" w:rsidR="00624A7F" w:rsidRDefault="00624A7F" w:rsidP="00903691">
            <w:pPr>
              <w:spacing w:after="0" w:line="240" w:lineRule="auto"/>
              <w:textAlignment w:val="baseline"/>
              <w:rPr>
                <w:rFonts w:ascii="Aptos" w:eastAsia="Times New Roman" w:hAnsi="Aptos" w:cs="Segoe UI"/>
                <w:lang w:eastAsia="en-GB"/>
              </w:rPr>
            </w:pPr>
          </w:p>
          <w:p w14:paraId="25C4CF26" w14:textId="0A4BAE03" w:rsidR="00624A7F" w:rsidRDefault="00624A7F" w:rsidP="00903691">
            <w:pPr>
              <w:spacing w:after="0" w:line="240" w:lineRule="auto"/>
              <w:textAlignment w:val="baseline"/>
              <w:rPr>
                <w:rFonts w:ascii="Aptos" w:eastAsia="Times New Roman" w:hAnsi="Aptos" w:cs="Segoe UI"/>
                <w:lang w:eastAsia="en-GB"/>
              </w:rPr>
            </w:pPr>
          </w:p>
          <w:p w14:paraId="145F6E54" w14:textId="2C1839B3" w:rsidR="00624A7F" w:rsidRDefault="00624A7F" w:rsidP="00903691">
            <w:pPr>
              <w:spacing w:after="0" w:line="240" w:lineRule="auto"/>
              <w:textAlignment w:val="baseline"/>
              <w:rPr>
                <w:rFonts w:ascii="Aptos" w:eastAsia="Times New Roman" w:hAnsi="Aptos" w:cs="Segoe UI"/>
                <w:lang w:eastAsia="en-GB"/>
              </w:rPr>
            </w:pPr>
          </w:p>
          <w:p w14:paraId="386A4FCF" w14:textId="6184927C" w:rsidR="00624A7F" w:rsidRDefault="00624A7F" w:rsidP="00903691">
            <w:pPr>
              <w:spacing w:after="0" w:line="240" w:lineRule="auto"/>
              <w:textAlignment w:val="baseline"/>
              <w:rPr>
                <w:rFonts w:ascii="Aptos" w:eastAsia="Times New Roman" w:hAnsi="Aptos" w:cs="Segoe UI"/>
                <w:lang w:eastAsia="en-GB"/>
              </w:rPr>
            </w:pPr>
          </w:p>
          <w:p w14:paraId="35F49A88" w14:textId="03D91413" w:rsidR="00624A7F" w:rsidRDefault="00624A7F" w:rsidP="00903691">
            <w:pPr>
              <w:spacing w:after="0" w:line="240" w:lineRule="auto"/>
              <w:textAlignment w:val="baseline"/>
              <w:rPr>
                <w:rFonts w:ascii="Aptos" w:eastAsia="Times New Roman" w:hAnsi="Aptos" w:cs="Segoe UI"/>
                <w:lang w:eastAsia="en-GB"/>
              </w:rPr>
            </w:pPr>
          </w:p>
          <w:p w14:paraId="39E3C703" w14:textId="72569B13" w:rsidR="00624A7F" w:rsidRDefault="00624A7F" w:rsidP="00903691">
            <w:pPr>
              <w:spacing w:after="0" w:line="240" w:lineRule="auto"/>
              <w:textAlignment w:val="baseline"/>
              <w:rPr>
                <w:rFonts w:ascii="Aptos" w:eastAsia="Times New Roman" w:hAnsi="Aptos" w:cs="Segoe UI"/>
                <w:lang w:eastAsia="en-GB"/>
              </w:rPr>
            </w:pPr>
          </w:p>
          <w:p w14:paraId="7F8811B3" w14:textId="221BEC27" w:rsidR="00624A7F" w:rsidRDefault="00624A7F" w:rsidP="00903691">
            <w:pPr>
              <w:spacing w:after="0" w:line="240" w:lineRule="auto"/>
              <w:textAlignment w:val="baseline"/>
              <w:rPr>
                <w:rFonts w:ascii="Aptos" w:eastAsia="Times New Roman" w:hAnsi="Aptos" w:cs="Segoe UI"/>
                <w:lang w:eastAsia="en-GB"/>
              </w:rPr>
            </w:pPr>
          </w:p>
          <w:p w14:paraId="243F4BD7" w14:textId="2B4D4F5F" w:rsidR="00624A7F" w:rsidRDefault="00624A7F" w:rsidP="00903691">
            <w:pPr>
              <w:spacing w:after="0" w:line="240" w:lineRule="auto"/>
              <w:textAlignment w:val="baseline"/>
              <w:rPr>
                <w:rFonts w:ascii="Aptos" w:eastAsia="Times New Roman" w:hAnsi="Aptos" w:cs="Segoe UI"/>
                <w:lang w:eastAsia="en-GB"/>
              </w:rPr>
            </w:pPr>
          </w:p>
          <w:p w14:paraId="4FEAC84D" w14:textId="7D13152D" w:rsidR="00624A7F" w:rsidRDefault="00624A7F" w:rsidP="00903691">
            <w:pPr>
              <w:spacing w:after="0" w:line="240" w:lineRule="auto"/>
              <w:textAlignment w:val="baseline"/>
              <w:rPr>
                <w:rFonts w:ascii="Aptos" w:eastAsia="Times New Roman" w:hAnsi="Aptos" w:cs="Segoe UI"/>
                <w:lang w:eastAsia="en-GB"/>
              </w:rPr>
            </w:pPr>
          </w:p>
          <w:p w14:paraId="60204C11" w14:textId="52131798" w:rsidR="00624A7F" w:rsidRDefault="00624A7F" w:rsidP="00903691">
            <w:pPr>
              <w:spacing w:after="0" w:line="240" w:lineRule="auto"/>
              <w:textAlignment w:val="baseline"/>
              <w:rPr>
                <w:rFonts w:ascii="Aptos" w:eastAsia="Times New Roman" w:hAnsi="Aptos" w:cs="Segoe UI"/>
                <w:lang w:eastAsia="en-GB"/>
              </w:rPr>
            </w:pPr>
          </w:p>
          <w:p w14:paraId="417CFFE1" w14:textId="73713686" w:rsidR="00624A7F" w:rsidRDefault="00624A7F" w:rsidP="00903691">
            <w:pPr>
              <w:spacing w:after="0" w:line="240" w:lineRule="auto"/>
              <w:textAlignment w:val="baseline"/>
              <w:rPr>
                <w:rFonts w:ascii="Aptos" w:eastAsia="Times New Roman" w:hAnsi="Aptos" w:cs="Segoe UI"/>
                <w:lang w:eastAsia="en-GB"/>
              </w:rPr>
            </w:pPr>
          </w:p>
          <w:p w14:paraId="5945A013" w14:textId="5F1ADA3C" w:rsidR="00624A7F" w:rsidRDefault="00624A7F" w:rsidP="00903691">
            <w:pPr>
              <w:spacing w:after="0" w:line="240" w:lineRule="auto"/>
              <w:textAlignment w:val="baseline"/>
              <w:rPr>
                <w:rFonts w:ascii="Aptos" w:eastAsia="Times New Roman" w:hAnsi="Aptos" w:cs="Segoe UI"/>
                <w:lang w:eastAsia="en-GB"/>
              </w:rPr>
            </w:pPr>
          </w:p>
          <w:p w14:paraId="243307C4" w14:textId="54BDA71E" w:rsidR="00624A7F" w:rsidRDefault="00624A7F" w:rsidP="00903691">
            <w:pPr>
              <w:spacing w:after="0" w:line="240" w:lineRule="auto"/>
              <w:textAlignment w:val="baseline"/>
              <w:rPr>
                <w:rFonts w:ascii="Aptos" w:eastAsia="Times New Roman" w:hAnsi="Aptos" w:cs="Segoe UI"/>
                <w:lang w:eastAsia="en-GB"/>
              </w:rPr>
            </w:pPr>
          </w:p>
          <w:p w14:paraId="0D4BA54E" w14:textId="77777777" w:rsidR="00624A7F" w:rsidRDefault="00624A7F" w:rsidP="00903691">
            <w:pPr>
              <w:spacing w:after="0" w:line="240" w:lineRule="auto"/>
              <w:textAlignment w:val="baseline"/>
              <w:rPr>
                <w:rFonts w:ascii="Aptos" w:eastAsia="Times New Roman" w:hAnsi="Aptos" w:cs="Segoe UI"/>
                <w:lang w:eastAsia="en-GB"/>
              </w:rPr>
            </w:pPr>
          </w:p>
          <w:p w14:paraId="24971DFE" w14:textId="77777777" w:rsidR="00F010BB" w:rsidRDefault="00F010BB" w:rsidP="00903691">
            <w:pPr>
              <w:spacing w:after="0" w:line="240" w:lineRule="auto"/>
              <w:textAlignment w:val="baseline"/>
              <w:rPr>
                <w:rFonts w:ascii="Aptos" w:eastAsia="Times New Roman" w:hAnsi="Aptos" w:cs="Segoe UI"/>
                <w:lang w:eastAsia="en-GB"/>
              </w:rPr>
            </w:pPr>
          </w:p>
          <w:p w14:paraId="70182DF0" w14:textId="34D1501D" w:rsidR="00F010BB" w:rsidRPr="003B5235" w:rsidRDefault="00F010BB" w:rsidP="00903691">
            <w:pPr>
              <w:spacing w:after="0" w:line="240" w:lineRule="auto"/>
              <w:textAlignment w:val="baseline"/>
              <w:rPr>
                <w:rFonts w:ascii="Aptos" w:eastAsia="Times New Roman" w:hAnsi="Aptos" w:cs="Segoe UI"/>
                <w:lang w:eastAsia="en-GB"/>
              </w:rPr>
            </w:pPr>
          </w:p>
        </w:tc>
      </w:tr>
      <w:tr w:rsidR="00F010BB" w:rsidRPr="0051545A" w14:paraId="2D9F7B95" w14:textId="77777777" w:rsidTr="00903691">
        <w:trPr>
          <w:trHeight w:val="1125"/>
        </w:trPr>
        <w:tc>
          <w:tcPr>
            <w:tcW w:w="3040"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2E42AF68"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lastRenderedPageBreak/>
              <w:t>Expected Impact</w:t>
            </w:r>
            <w:r w:rsidRPr="0051545A">
              <w:rPr>
                <w:rFonts w:ascii="Arial" w:eastAsia="Times New Roman" w:hAnsi="Arial" w:cs="Arial"/>
                <w:color w:val="000000"/>
                <w:sz w:val="28"/>
                <w:szCs w:val="28"/>
                <w:lang w:eastAsia="en-GB"/>
              </w:rPr>
              <w:t> </w:t>
            </w:r>
          </w:p>
          <w:p w14:paraId="4F4FF1E9"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expected impact on outcomes for children and young people) </w:t>
            </w:r>
          </w:p>
          <w:p w14:paraId="49005C46"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 </w:t>
            </w:r>
          </w:p>
          <w:p w14:paraId="2DE0C119"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5CA37E"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Interventions Planned</w:t>
            </w:r>
            <w:r w:rsidRPr="0051545A">
              <w:rPr>
                <w:rFonts w:ascii="Arial" w:eastAsia="Times New Roman" w:hAnsi="Arial" w:cs="Arial"/>
                <w:color w:val="000000"/>
                <w:sz w:val="28"/>
                <w:szCs w:val="28"/>
                <w:lang w:eastAsia="en-GB"/>
              </w:rPr>
              <w:t> </w:t>
            </w:r>
          </w:p>
          <w:p w14:paraId="56F8D038"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258DE12"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Measure of Success</w:t>
            </w:r>
            <w:r w:rsidRPr="0051545A">
              <w:rPr>
                <w:rFonts w:ascii="Arial" w:eastAsia="Times New Roman" w:hAnsi="Arial" w:cs="Arial"/>
                <w:color w:val="000000"/>
                <w:sz w:val="28"/>
                <w:szCs w:val="28"/>
                <w:lang w:eastAsia="en-GB"/>
              </w:rPr>
              <w:t> </w:t>
            </w:r>
          </w:p>
          <w:p w14:paraId="464C1754"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shd w:val="clear" w:color="auto" w:fill="auto"/>
            <w:vAlign w:val="center"/>
            <w:hideMark/>
          </w:tcPr>
          <w:p w14:paraId="7027D398"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Impact on learners</w:t>
            </w:r>
            <w:r w:rsidRPr="0051545A">
              <w:rPr>
                <w:rFonts w:ascii="Arial" w:eastAsia="Times New Roman" w:hAnsi="Arial" w:cs="Arial"/>
                <w:color w:val="000000"/>
                <w:sz w:val="28"/>
                <w:szCs w:val="28"/>
                <w:lang w:eastAsia="en-GB"/>
              </w:rPr>
              <w:t> </w:t>
            </w:r>
          </w:p>
          <w:p w14:paraId="42ED6581"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Ongoing evaluation Dec/June</w:t>
            </w:r>
            <w:r w:rsidRPr="0051545A">
              <w:rPr>
                <w:rFonts w:ascii="Arial" w:eastAsia="Times New Roman" w:hAnsi="Arial" w:cs="Arial"/>
                <w:color w:val="000000"/>
                <w:sz w:val="28"/>
                <w:szCs w:val="28"/>
                <w:lang w:eastAsia="en-GB"/>
              </w:rPr>
              <w:t> </w:t>
            </w:r>
          </w:p>
          <w:p w14:paraId="285BE64C"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w:t>
            </w:r>
            <w:r w:rsidRPr="0051545A">
              <w:rPr>
                <w:rFonts w:ascii="Arial" w:eastAsia="Times New Roman" w:hAnsi="Arial" w:cs="Arial"/>
                <w:color w:val="000000"/>
                <w:sz w:val="20"/>
                <w:szCs w:val="20"/>
                <w:lang w:eastAsia="en-GB"/>
              </w:rPr>
              <w:t>What has been the actual impact/outcome, in particular for the targeted group of learners) </w:t>
            </w:r>
          </w:p>
          <w:p w14:paraId="689EC2AE" w14:textId="77777777" w:rsidR="00F010BB" w:rsidRPr="0051545A" w:rsidRDefault="00F010BB" w:rsidP="00903691">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data/evidence shows the impact of the project/intervention? Refer to outcome statement. Did you achieve what you set out?) </w:t>
            </w:r>
          </w:p>
        </w:tc>
      </w:tr>
      <w:tr w:rsidR="00F010BB" w:rsidRPr="0051545A" w14:paraId="424358F2" w14:textId="77777777" w:rsidTr="00F010BB">
        <w:trPr>
          <w:trHeight w:val="5205"/>
        </w:trPr>
        <w:tc>
          <w:tcPr>
            <w:tcW w:w="3040" w:type="dxa"/>
            <w:tcBorders>
              <w:top w:val="single" w:sz="6" w:space="0" w:color="auto"/>
              <w:left w:val="double" w:sz="12" w:space="0" w:color="auto"/>
              <w:bottom w:val="double" w:sz="12" w:space="0" w:color="auto"/>
              <w:right w:val="single" w:sz="6" w:space="0" w:color="auto"/>
            </w:tcBorders>
            <w:shd w:val="clear" w:color="auto" w:fill="auto"/>
          </w:tcPr>
          <w:p w14:paraId="4D5EDBF2" w14:textId="4DCA742A" w:rsidR="00F010BB" w:rsidRPr="00081165" w:rsidRDefault="00F010BB"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Increase overall attainment</w:t>
            </w:r>
            <w:r w:rsidR="00537050" w:rsidRPr="00081165">
              <w:rPr>
                <w:rFonts w:ascii="Arial" w:eastAsia="Times New Roman" w:hAnsi="Arial" w:cs="Arial"/>
                <w:sz w:val="22"/>
                <w:szCs w:val="22"/>
                <w:lang w:eastAsia="en-GB"/>
              </w:rPr>
              <w:t xml:space="preserve"> in literacy </w:t>
            </w:r>
            <w:r w:rsidRPr="00081165">
              <w:rPr>
                <w:rFonts w:ascii="Arial" w:eastAsia="Times New Roman" w:hAnsi="Arial" w:cs="Arial"/>
                <w:sz w:val="22"/>
                <w:szCs w:val="22"/>
                <w:lang w:eastAsia="en-GB"/>
              </w:rPr>
              <w:t xml:space="preserve">of </w:t>
            </w:r>
            <w:r w:rsidR="00537050" w:rsidRPr="00081165">
              <w:rPr>
                <w:rFonts w:ascii="Arial" w:eastAsia="Times New Roman" w:hAnsi="Arial" w:cs="Arial"/>
                <w:sz w:val="22"/>
                <w:szCs w:val="22"/>
                <w:lang w:eastAsia="en-GB"/>
              </w:rPr>
              <w:t>children</w:t>
            </w:r>
            <w:r w:rsidRPr="00081165">
              <w:rPr>
                <w:rFonts w:ascii="Arial" w:eastAsia="Times New Roman" w:hAnsi="Arial" w:cs="Arial"/>
                <w:sz w:val="22"/>
                <w:szCs w:val="22"/>
                <w:lang w:eastAsia="en-GB"/>
              </w:rPr>
              <w:t xml:space="preserve"> in receipt of free school meals by </w:t>
            </w:r>
            <w:r w:rsidR="00537050" w:rsidRPr="00081165">
              <w:rPr>
                <w:rFonts w:ascii="Arial" w:eastAsia="Times New Roman" w:hAnsi="Arial" w:cs="Arial"/>
                <w:sz w:val="22"/>
                <w:szCs w:val="22"/>
                <w:lang w:eastAsia="en-GB"/>
              </w:rPr>
              <w:t xml:space="preserve">10% by </w:t>
            </w:r>
            <w:r w:rsidR="005F6DF9" w:rsidRPr="00081165">
              <w:rPr>
                <w:rFonts w:ascii="Arial" w:eastAsia="Times New Roman" w:hAnsi="Arial" w:cs="Arial"/>
                <w:sz w:val="22"/>
                <w:szCs w:val="22"/>
                <w:lang w:eastAsia="en-GB"/>
              </w:rPr>
              <w:t>May</w:t>
            </w:r>
            <w:r w:rsidR="00537050" w:rsidRPr="00081165">
              <w:rPr>
                <w:rFonts w:ascii="Arial" w:eastAsia="Times New Roman" w:hAnsi="Arial" w:cs="Arial"/>
                <w:sz w:val="22"/>
                <w:szCs w:val="22"/>
                <w:lang w:eastAsia="en-GB"/>
              </w:rPr>
              <w:t xml:space="preserve"> 2026</w:t>
            </w:r>
          </w:p>
          <w:p w14:paraId="73B19726" w14:textId="77777777" w:rsidR="00537050" w:rsidRPr="00081165" w:rsidRDefault="00537050" w:rsidP="00903691">
            <w:pPr>
              <w:spacing w:after="0" w:line="240" w:lineRule="auto"/>
              <w:textAlignment w:val="baseline"/>
              <w:rPr>
                <w:rFonts w:ascii="Arial" w:eastAsia="Times New Roman" w:hAnsi="Arial" w:cs="Arial"/>
                <w:sz w:val="22"/>
                <w:szCs w:val="22"/>
                <w:lang w:eastAsia="en-GB"/>
              </w:rPr>
            </w:pPr>
          </w:p>
          <w:p w14:paraId="326398F4" w14:textId="77777777" w:rsidR="00537050" w:rsidRPr="00081165" w:rsidRDefault="00537050"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 xml:space="preserve">Increase overall attainment in literacy of children living in </w:t>
            </w:r>
            <w:proofErr w:type="spellStart"/>
            <w:r w:rsidRPr="00081165">
              <w:rPr>
                <w:rFonts w:ascii="Arial" w:eastAsia="Times New Roman" w:hAnsi="Arial" w:cs="Arial"/>
                <w:sz w:val="22"/>
                <w:szCs w:val="22"/>
                <w:lang w:eastAsia="en-GB"/>
              </w:rPr>
              <w:t>SIMd</w:t>
            </w:r>
            <w:proofErr w:type="spellEnd"/>
            <w:r w:rsidRPr="00081165">
              <w:rPr>
                <w:rFonts w:ascii="Arial" w:eastAsia="Times New Roman" w:hAnsi="Arial" w:cs="Arial"/>
                <w:sz w:val="22"/>
                <w:szCs w:val="22"/>
                <w:lang w:eastAsia="en-GB"/>
              </w:rPr>
              <w:t xml:space="preserve"> 1 and 2 by 5% by </w:t>
            </w:r>
            <w:r w:rsidR="005F6DF9" w:rsidRPr="00081165">
              <w:rPr>
                <w:rFonts w:ascii="Arial" w:eastAsia="Times New Roman" w:hAnsi="Arial" w:cs="Arial"/>
                <w:sz w:val="22"/>
                <w:szCs w:val="22"/>
                <w:lang w:eastAsia="en-GB"/>
              </w:rPr>
              <w:t xml:space="preserve">May </w:t>
            </w:r>
            <w:r w:rsidRPr="00081165">
              <w:rPr>
                <w:rFonts w:ascii="Arial" w:eastAsia="Times New Roman" w:hAnsi="Arial" w:cs="Arial"/>
                <w:sz w:val="22"/>
                <w:szCs w:val="22"/>
                <w:lang w:eastAsia="en-GB"/>
              </w:rPr>
              <w:t>2026.</w:t>
            </w:r>
          </w:p>
          <w:p w14:paraId="5016C76B" w14:textId="77777777" w:rsidR="00C809C6" w:rsidRPr="00081165" w:rsidRDefault="00C809C6" w:rsidP="00903691">
            <w:pPr>
              <w:spacing w:after="0" w:line="240" w:lineRule="auto"/>
              <w:textAlignment w:val="baseline"/>
              <w:rPr>
                <w:rFonts w:ascii="Arial" w:eastAsia="Times New Roman" w:hAnsi="Arial" w:cs="Arial"/>
                <w:sz w:val="22"/>
                <w:szCs w:val="22"/>
                <w:lang w:eastAsia="en-GB"/>
              </w:rPr>
            </w:pPr>
          </w:p>
          <w:p w14:paraId="56313E69" w14:textId="22FA5A22" w:rsidR="00C809C6" w:rsidRPr="00081165" w:rsidRDefault="00C809C6" w:rsidP="00903691">
            <w:pPr>
              <w:spacing w:after="0" w:line="240" w:lineRule="auto"/>
              <w:textAlignment w:val="baseline"/>
              <w:rPr>
                <w:rFonts w:ascii="Arial" w:eastAsia="Times New Roman" w:hAnsi="Arial" w:cs="Arial"/>
                <w:sz w:val="22"/>
                <w:szCs w:val="22"/>
                <w:lang w:eastAsia="en-GB"/>
              </w:rPr>
            </w:pPr>
          </w:p>
        </w:tc>
        <w:tc>
          <w:tcPr>
            <w:tcW w:w="4431" w:type="dxa"/>
            <w:tcBorders>
              <w:top w:val="single" w:sz="6" w:space="0" w:color="auto"/>
              <w:left w:val="single" w:sz="6" w:space="0" w:color="auto"/>
              <w:bottom w:val="double" w:sz="12" w:space="0" w:color="auto"/>
              <w:right w:val="single" w:sz="6" w:space="0" w:color="auto"/>
            </w:tcBorders>
            <w:shd w:val="clear" w:color="auto" w:fill="auto"/>
          </w:tcPr>
          <w:p w14:paraId="466B560B" w14:textId="16AC4B40" w:rsidR="00F010BB" w:rsidRPr="00081165" w:rsidRDefault="00F010BB"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Harmony Hub group – strategies to improve self</w:t>
            </w:r>
            <w:r w:rsidR="005F6DF9" w:rsidRPr="00081165">
              <w:rPr>
                <w:rFonts w:ascii="Arial" w:eastAsia="Times New Roman" w:hAnsi="Arial" w:cs="Arial"/>
                <w:sz w:val="22"/>
                <w:szCs w:val="22"/>
                <w:lang w:eastAsia="en-GB"/>
              </w:rPr>
              <w:t>-</w:t>
            </w:r>
            <w:r w:rsidRPr="00081165">
              <w:rPr>
                <w:rFonts w:ascii="Arial" w:eastAsia="Times New Roman" w:hAnsi="Arial" w:cs="Arial"/>
                <w:sz w:val="22"/>
                <w:szCs w:val="22"/>
                <w:lang w:eastAsia="en-GB"/>
              </w:rPr>
              <w:t>regulation</w:t>
            </w:r>
            <w:r w:rsidR="00537050" w:rsidRPr="00081165">
              <w:rPr>
                <w:rFonts w:ascii="Arial" w:eastAsia="Times New Roman" w:hAnsi="Arial" w:cs="Arial"/>
                <w:sz w:val="22"/>
                <w:szCs w:val="22"/>
                <w:lang w:eastAsia="en-GB"/>
              </w:rPr>
              <w:t xml:space="preserve"> </w:t>
            </w:r>
            <w:r w:rsidRPr="00081165">
              <w:rPr>
                <w:rFonts w:ascii="Arial" w:eastAsia="Times New Roman" w:hAnsi="Arial" w:cs="Arial"/>
                <w:sz w:val="22"/>
                <w:szCs w:val="22"/>
                <w:lang w:eastAsia="en-GB"/>
              </w:rPr>
              <w:t>and attend to learning</w:t>
            </w:r>
            <w:r w:rsidR="00C809C6" w:rsidRPr="00081165">
              <w:rPr>
                <w:rFonts w:ascii="Arial" w:eastAsia="Times New Roman" w:hAnsi="Arial" w:cs="Arial"/>
                <w:sz w:val="22"/>
                <w:szCs w:val="22"/>
                <w:lang w:eastAsia="en-GB"/>
              </w:rPr>
              <w:t xml:space="preserve"> - PT</w:t>
            </w:r>
          </w:p>
          <w:p w14:paraId="4BC16D60" w14:textId="77777777" w:rsidR="00F010BB" w:rsidRPr="00081165" w:rsidRDefault="00F010BB" w:rsidP="00903691">
            <w:pPr>
              <w:spacing w:after="0" w:line="240" w:lineRule="auto"/>
              <w:textAlignment w:val="baseline"/>
              <w:rPr>
                <w:rFonts w:ascii="Arial" w:eastAsia="Times New Roman" w:hAnsi="Arial" w:cs="Arial"/>
                <w:sz w:val="22"/>
                <w:szCs w:val="22"/>
                <w:lang w:eastAsia="en-GB"/>
              </w:rPr>
            </w:pPr>
          </w:p>
          <w:p w14:paraId="360A252B" w14:textId="77777777" w:rsidR="00F010BB" w:rsidRPr="00081165" w:rsidRDefault="00F010BB"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Home learning supplies</w:t>
            </w:r>
          </w:p>
          <w:p w14:paraId="552EA52B" w14:textId="77777777" w:rsidR="00F010BB" w:rsidRPr="00081165" w:rsidRDefault="00F010BB" w:rsidP="00903691">
            <w:pPr>
              <w:spacing w:after="0" w:line="240" w:lineRule="auto"/>
              <w:textAlignment w:val="baseline"/>
              <w:rPr>
                <w:rFonts w:ascii="Arial" w:eastAsia="Times New Roman" w:hAnsi="Arial" w:cs="Arial"/>
                <w:sz w:val="22"/>
                <w:szCs w:val="22"/>
                <w:lang w:eastAsia="en-GB"/>
              </w:rPr>
            </w:pPr>
          </w:p>
          <w:p w14:paraId="13FEDBAE" w14:textId="0A7D6A4F" w:rsidR="00F010BB" w:rsidRPr="00081165" w:rsidRDefault="00F010BB"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Food provision– breakfast, snacks</w:t>
            </w:r>
          </w:p>
          <w:p w14:paraId="7844DFCC" w14:textId="77777777" w:rsidR="00F010BB" w:rsidRPr="00081165" w:rsidRDefault="00F010BB" w:rsidP="00903691">
            <w:pPr>
              <w:spacing w:after="0" w:line="240" w:lineRule="auto"/>
              <w:textAlignment w:val="baseline"/>
              <w:rPr>
                <w:rFonts w:ascii="Arial" w:eastAsia="Times New Roman" w:hAnsi="Arial" w:cs="Arial"/>
                <w:sz w:val="22"/>
                <w:szCs w:val="22"/>
                <w:lang w:eastAsia="en-GB"/>
              </w:rPr>
            </w:pPr>
          </w:p>
          <w:p w14:paraId="01EEC39E" w14:textId="263990B6" w:rsidR="00F010BB" w:rsidRPr="00081165" w:rsidRDefault="00F010BB" w:rsidP="00903691">
            <w:pPr>
              <w:spacing w:after="0" w:line="240" w:lineRule="auto"/>
              <w:textAlignment w:val="baseline"/>
              <w:rPr>
                <w:rFonts w:ascii="Arial" w:eastAsia="Times New Roman" w:hAnsi="Arial" w:cs="Arial"/>
                <w:sz w:val="22"/>
                <w:szCs w:val="22"/>
                <w:lang w:eastAsia="en-GB"/>
              </w:rPr>
            </w:pPr>
            <w:proofErr w:type="spellStart"/>
            <w:r w:rsidRPr="00081165">
              <w:rPr>
                <w:rFonts w:ascii="Arial" w:eastAsia="Times New Roman" w:hAnsi="Arial" w:cs="Arial"/>
                <w:sz w:val="22"/>
                <w:szCs w:val="22"/>
                <w:lang w:eastAsia="en-GB"/>
              </w:rPr>
              <w:t>IDl</w:t>
            </w:r>
            <w:proofErr w:type="spellEnd"/>
            <w:r w:rsidRPr="00081165">
              <w:rPr>
                <w:rFonts w:ascii="Arial" w:eastAsia="Times New Roman" w:hAnsi="Arial" w:cs="Arial"/>
                <w:sz w:val="22"/>
                <w:szCs w:val="22"/>
                <w:lang w:eastAsia="en-GB"/>
              </w:rPr>
              <w:t xml:space="preserve"> groups </w:t>
            </w:r>
            <w:r w:rsidR="00C809C6" w:rsidRPr="00081165">
              <w:rPr>
                <w:rFonts w:ascii="Arial" w:eastAsia="Times New Roman" w:hAnsi="Arial" w:cs="Arial"/>
                <w:sz w:val="22"/>
                <w:szCs w:val="22"/>
                <w:lang w:eastAsia="en-GB"/>
              </w:rPr>
              <w:t>- PSA</w:t>
            </w:r>
          </w:p>
          <w:p w14:paraId="386C850E" w14:textId="77777777" w:rsidR="005F6DF9" w:rsidRPr="00081165" w:rsidRDefault="005F6DF9" w:rsidP="00903691">
            <w:pPr>
              <w:spacing w:after="0" w:line="240" w:lineRule="auto"/>
              <w:textAlignment w:val="baseline"/>
              <w:rPr>
                <w:rFonts w:ascii="Arial" w:eastAsia="Times New Roman" w:hAnsi="Arial" w:cs="Arial"/>
                <w:sz w:val="22"/>
                <w:szCs w:val="22"/>
                <w:lang w:eastAsia="en-GB"/>
              </w:rPr>
            </w:pPr>
          </w:p>
          <w:p w14:paraId="14FA8704" w14:textId="752CB75C" w:rsidR="005F6DF9" w:rsidRPr="00081165" w:rsidRDefault="005F6DF9"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Raising attainment groups</w:t>
            </w:r>
            <w:r w:rsidR="00C809C6" w:rsidRPr="00081165">
              <w:rPr>
                <w:rFonts w:ascii="Arial" w:eastAsia="Times New Roman" w:hAnsi="Arial" w:cs="Arial"/>
                <w:sz w:val="22"/>
                <w:szCs w:val="22"/>
                <w:lang w:eastAsia="en-GB"/>
              </w:rPr>
              <w:t xml:space="preserve"> – PT and additional teacher</w:t>
            </w:r>
          </w:p>
          <w:p w14:paraId="4BEA440C" w14:textId="77777777" w:rsidR="005F6DF9" w:rsidRPr="00081165" w:rsidRDefault="005F6DF9" w:rsidP="00903691">
            <w:pPr>
              <w:spacing w:after="0" w:line="240" w:lineRule="auto"/>
              <w:textAlignment w:val="baseline"/>
              <w:rPr>
                <w:rFonts w:ascii="Arial" w:eastAsia="Times New Roman" w:hAnsi="Arial" w:cs="Arial"/>
                <w:sz w:val="22"/>
                <w:szCs w:val="22"/>
                <w:lang w:eastAsia="en-GB"/>
              </w:rPr>
            </w:pPr>
          </w:p>
          <w:p w14:paraId="08C6DF2C" w14:textId="590CC466" w:rsidR="005F6DF9" w:rsidRPr="00081165" w:rsidRDefault="005F6DF9"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Staff capacity building – team teaching</w:t>
            </w:r>
            <w:r w:rsidR="00C809C6" w:rsidRPr="00081165">
              <w:rPr>
                <w:rFonts w:ascii="Arial" w:eastAsia="Times New Roman" w:hAnsi="Arial" w:cs="Arial"/>
                <w:sz w:val="22"/>
                <w:szCs w:val="22"/>
                <w:lang w:eastAsia="en-GB"/>
              </w:rPr>
              <w:t xml:space="preserve"> additional teacher</w:t>
            </w:r>
          </w:p>
          <w:p w14:paraId="63A34950" w14:textId="77777777" w:rsidR="005F6DF9" w:rsidRPr="00081165" w:rsidRDefault="005F6DF9" w:rsidP="00903691">
            <w:pPr>
              <w:spacing w:after="0" w:line="240" w:lineRule="auto"/>
              <w:textAlignment w:val="baseline"/>
              <w:rPr>
                <w:rFonts w:ascii="Arial" w:eastAsia="Times New Roman" w:hAnsi="Arial" w:cs="Arial"/>
                <w:sz w:val="22"/>
                <w:szCs w:val="22"/>
                <w:lang w:eastAsia="en-GB"/>
              </w:rPr>
            </w:pPr>
          </w:p>
          <w:p w14:paraId="690B52BB" w14:textId="08722751" w:rsidR="00F010BB" w:rsidRPr="00081165" w:rsidRDefault="00F010BB"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Parent groups to support learning</w:t>
            </w:r>
            <w:r w:rsidR="00C809C6" w:rsidRPr="00081165">
              <w:rPr>
                <w:rFonts w:ascii="Arial" w:eastAsia="Times New Roman" w:hAnsi="Arial" w:cs="Arial"/>
                <w:sz w:val="22"/>
                <w:szCs w:val="22"/>
                <w:lang w:eastAsia="en-GB"/>
              </w:rPr>
              <w:t xml:space="preserve"> - PT</w:t>
            </w:r>
          </w:p>
          <w:p w14:paraId="0E70D842" w14:textId="77777777" w:rsidR="005F6DF9" w:rsidRPr="00081165" w:rsidRDefault="005F6DF9" w:rsidP="00903691">
            <w:pPr>
              <w:spacing w:after="0" w:line="240" w:lineRule="auto"/>
              <w:textAlignment w:val="baseline"/>
              <w:rPr>
                <w:rFonts w:ascii="Arial" w:eastAsia="Times New Roman" w:hAnsi="Arial" w:cs="Arial"/>
                <w:sz w:val="22"/>
                <w:szCs w:val="22"/>
                <w:lang w:eastAsia="en-GB"/>
              </w:rPr>
            </w:pPr>
          </w:p>
          <w:p w14:paraId="0594504B" w14:textId="6E24DB02" w:rsidR="005F6DF9" w:rsidRPr="00081165" w:rsidRDefault="005F6DF9"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Use of digital technology to support and enhance learning</w:t>
            </w:r>
            <w:r w:rsidR="00C809C6" w:rsidRPr="00081165">
              <w:rPr>
                <w:rFonts w:ascii="Arial" w:eastAsia="Times New Roman" w:hAnsi="Arial" w:cs="Arial"/>
                <w:sz w:val="22"/>
                <w:szCs w:val="22"/>
                <w:lang w:eastAsia="en-GB"/>
              </w:rPr>
              <w:t xml:space="preserve"> – link to SIP, all staff</w:t>
            </w:r>
          </w:p>
          <w:p w14:paraId="34FA2B88" w14:textId="2BE20611" w:rsidR="005F6DF9" w:rsidRPr="00081165" w:rsidRDefault="005F6DF9" w:rsidP="00903691">
            <w:pPr>
              <w:spacing w:after="0" w:line="240" w:lineRule="auto"/>
              <w:textAlignment w:val="baseline"/>
              <w:rPr>
                <w:rFonts w:ascii="Arial" w:eastAsia="Times New Roman" w:hAnsi="Arial" w:cs="Arial"/>
                <w:sz w:val="22"/>
                <w:szCs w:val="22"/>
                <w:lang w:eastAsia="en-GB"/>
              </w:rPr>
            </w:pPr>
          </w:p>
        </w:tc>
        <w:tc>
          <w:tcPr>
            <w:tcW w:w="3316" w:type="dxa"/>
            <w:gridSpan w:val="2"/>
            <w:tcBorders>
              <w:top w:val="single" w:sz="6" w:space="0" w:color="auto"/>
              <w:left w:val="single" w:sz="6" w:space="0" w:color="auto"/>
              <w:bottom w:val="double" w:sz="12" w:space="0" w:color="auto"/>
              <w:right w:val="single" w:sz="6" w:space="0" w:color="auto"/>
            </w:tcBorders>
            <w:shd w:val="clear" w:color="auto" w:fill="auto"/>
          </w:tcPr>
          <w:p w14:paraId="36DC0364" w14:textId="728FDA0B" w:rsidR="00F010BB" w:rsidRPr="00081165" w:rsidRDefault="005F6DF9"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Learner conversations</w:t>
            </w:r>
          </w:p>
          <w:p w14:paraId="65E11173" w14:textId="77777777" w:rsidR="005F6DF9" w:rsidRPr="00081165" w:rsidRDefault="005F6DF9"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 xml:space="preserve">Attainment data (including incremental assessment data </w:t>
            </w:r>
            <w:proofErr w:type="spellStart"/>
            <w:r w:rsidRPr="00081165">
              <w:rPr>
                <w:rFonts w:ascii="Arial" w:eastAsia="Times New Roman" w:hAnsi="Arial" w:cs="Arial"/>
                <w:sz w:val="22"/>
                <w:szCs w:val="22"/>
                <w:lang w:eastAsia="en-GB"/>
              </w:rPr>
              <w:t>e.g</w:t>
            </w:r>
            <w:proofErr w:type="spellEnd"/>
            <w:r w:rsidRPr="00081165">
              <w:rPr>
                <w:rFonts w:ascii="Arial" w:eastAsia="Times New Roman" w:hAnsi="Arial" w:cs="Arial"/>
                <w:sz w:val="22"/>
                <w:szCs w:val="22"/>
                <w:lang w:eastAsia="en-GB"/>
              </w:rPr>
              <w:t xml:space="preserve">  IDL)</w:t>
            </w:r>
          </w:p>
          <w:p w14:paraId="74C3D1C2" w14:textId="77777777" w:rsidR="005F6DF9" w:rsidRPr="00081165" w:rsidRDefault="005F6DF9"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Parent group feedback</w:t>
            </w:r>
          </w:p>
          <w:p w14:paraId="35F05128" w14:textId="77777777" w:rsidR="005F6DF9" w:rsidRPr="00081165" w:rsidRDefault="005F6DF9"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Classroom observations</w:t>
            </w:r>
          </w:p>
          <w:p w14:paraId="398FAE77" w14:textId="77777777" w:rsidR="005F6DF9" w:rsidRPr="00081165" w:rsidRDefault="005F6DF9" w:rsidP="00903691">
            <w:pPr>
              <w:spacing w:after="0" w:line="240" w:lineRule="auto"/>
              <w:textAlignment w:val="baseline"/>
              <w:rPr>
                <w:rFonts w:ascii="Arial" w:eastAsia="Times New Roman" w:hAnsi="Arial" w:cs="Arial"/>
                <w:sz w:val="22"/>
                <w:szCs w:val="22"/>
                <w:lang w:eastAsia="en-GB"/>
              </w:rPr>
            </w:pPr>
            <w:r w:rsidRPr="00081165">
              <w:rPr>
                <w:rFonts w:ascii="Arial" w:eastAsia="Times New Roman" w:hAnsi="Arial" w:cs="Arial"/>
                <w:sz w:val="22"/>
                <w:szCs w:val="22"/>
                <w:lang w:eastAsia="en-GB"/>
              </w:rPr>
              <w:t>Sampling of pupil work</w:t>
            </w:r>
          </w:p>
          <w:p w14:paraId="1B88A8CC" w14:textId="77777777" w:rsidR="00C809C6" w:rsidRPr="00081165" w:rsidRDefault="00C809C6" w:rsidP="00903691">
            <w:pPr>
              <w:spacing w:after="0" w:line="240" w:lineRule="auto"/>
              <w:textAlignment w:val="baseline"/>
              <w:rPr>
                <w:rFonts w:ascii="Arial" w:eastAsia="Times New Roman" w:hAnsi="Arial" w:cs="Arial"/>
                <w:sz w:val="22"/>
                <w:szCs w:val="22"/>
                <w:lang w:eastAsia="en-GB"/>
              </w:rPr>
            </w:pPr>
          </w:p>
          <w:p w14:paraId="1C31EC07" w14:textId="3EFA4A1F" w:rsidR="00C809C6" w:rsidRPr="00081165" w:rsidRDefault="00560F75" w:rsidP="00903691">
            <w:pPr>
              <w:spacing w:after="0" w:line="240" w:lineRule="auto"/>
              <w:textAlignment w:val="baseline"/>
              <w:rPr>
                <w:rFonts w:ascii="Arial" w:eastAsia="Times New Roman" w:hAnsi="Arial" w:cs="Arial"/>
                <w:sz w:val="22"/>
                <w:szCs w:val="22"/>
                <w:lang w:eastAsia="en-GB"/>
              </w:rPr>
            </w:pPr>
            <w:r>
              <w:rPr>
                <w:rFonts w:ascii="Arial" w:eastAsia="Times New Roman" w:hAnsi="Arial" w:cs="Arial"/>
                <w:sz w:val="22"/>
                <w:szCs w:val="22"/>
                <w:lang w:eastAsia="en-GB"/>
              </w:rPr>
              <w:t>Leadership Overview meetings at least termly</w:t>
            </w:r>
          </w:p>
        </w:tc>
        <w:tc>
          <w:tcPr>
            <w:tcW w:w="4230" w:type="dxa"/>
            <w:tcBorders>
              <w:top w:val="single" w:sz="6" w:space="0" w:color="auto"/>
              <w:left w:val="single" w:sz="6" w:space="0" w:color="auto"/>
              <w:bottom w:val="double" w:sz="12" w:space="0" w:color="auto"/>
              <w:right w:val="double" w:sz="12" w:space="0" w:color="auto"/>
            </w:tcBorders>
            <w:shd w:val="clear" w:color="auto" w:fill="auto"/>
            <w:hideMark/>
          </w:tcPr>
          <w:p w14:paraId="42387D11" w14:textId="77777777" w:rsidR="00F010BB" w:rsidRPr="003B5235" w:rsidRDefault="00F010BB" w:rsidP="00903691">
            <w:pPr>
              <w:spacing w:after="0" w:line="240" w:lineRule="auto"/>
              <w:textAlignment w:val="baseline"/>
              <w:rPr>
                <w:rFonts w:eastAsia="Times New Roman" w:cs="Segoe UI"/>
                <w:lang w:eastAsia="en-GB"/>
              </w:rPr>
            </w:pPr>
            <w:r w:rsidRPr="003B5235">
              <w:rPr>
                <w:rFonts w:eastAsia="Times New Roman" w:cs="Arial"/>
                <w:lang w:eastAsia="en-GB"/>
              </w:rPr>
              <w:t> </w:t>
            </w:r>
          </w:p>
          <w:p w14:paraId="0C22DBAE" w14:textId="77777777" w:rsidR="00F010BB" w:rsidRPr="003B5235" w:rsidRDefault="00F010BB" w:rsidP="00903691">
            <w:pPr>
              <w:spacing w:after="0" w:line="240" w:lineRule="auto"/>
              <w:textAlignment w:val="baseline"/>
              <w:rPr>
                <w:rFonts w:eastAsia="Times New Roman" w:cs="Segoe UI"/>
                <w:lang w:eastAsia="en-GB"/>
              </w:rPr>
            </w:pPr>
            <w:r w:rsidRPr="003B5235">
              <w:rPr>
                <w:rFonts w:eastAsia="Times New Roman" w:cs="Arial"/>
                <w:lang w:eastAsia="en-GB"/>
              </w:rPr>
              <w:t> </w:t>
            </w:r>
          </w:p>
          <w:p w14:paraId="30526845" w14:textId="77777777" w:rsidR="00F010BB" w:rsidRPr="003B5235" w:rsidRDefault="00F010BB" w:rsidP="00903691">
            <w:pPr>
              <w:spacing w:after="0" w:line="240" w:lineRule="auto"/>
              <w:textAlignment w:val="baseline"/>
              <w:rPr>
                <w:rFonts w:eastAsia="Times New Roman" w:cs="Segoe UI"/>
                <w:lang w:eastAsia="en-GB"/>
              </w:rPr>
            </w:pPr>
            <w:r w:rsidRPr="003B5235">
              <w:rPr>
                <w:rFonts w:eastAsia="Times New Roman" w:cs="Arial"/>
                <w:color w:val="0000FF"/>
                <w:lang w:eastAsia="en-GB"/>
              </w:rPr>
              <w:t> </w:t>
            </w:r>
          </w:p>
          <w:p w14:paraId="6476F289" w14:textId="77777777" w:rsidR="00F010BB" w:rsidRPr="003B5235" w:rsidRDefault="00F010BB" w:rsidP="00903691">
            <w:pPr>
              <w:spacing w:after="0" w:line="240" w:lineRule="auto"/>
              <w:textAlignment w:val="baseline"/>
              <w:rPr>
                <w:rFonts w:eastAsia="Times New Roman" w:cs="Segoe UI"/>
                <w:lang w:eastAsia="en-GB"/>
              </w:rPr>
            </w:pPr>
            <w:r w:rsidRPr="003B5235">
              <w:rPr>
                <w:rFonts w:eastAsia="Times New Roman" w:cs="Arial"/>
                <w:lang w:eastAsia="en-GB"/>
              </w:rPr>
              <w:t> </w:t>
            </w:r>
          </w:p>
        </w:tc>
      </w:tr>
    </w:tbl>
    <w:p w14:paraId="3BE0F56A" w14:textId="77777777" w:rsidR="00F010BB" w:rsidRDefault="00F010BB"/>
    <w:sectPr w:rsidR="00F010BB" w:rsidSect="00A74CC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2678"/>
    <w:multiLevelType w:val="hybridMultilevel"/>
    <w:tmpl w:val="080C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45F3B"/>
    <w:multiLevelType w:val="hybridMultilevel"/>
    <w:tmpl w:val="2F5C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644295">
    <w:abstractNumId w:val="1"/>
  </w:num>
  <w:num w:numId="2" w16cid:durableId="61992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CD"/>
    <w:rsid w:val="00032A06"/>
    <w:rsid w:val="00081165"/>
    <w:rsid w:val="00293485"/>
    <w:rsid w:val="002D7ACE"/>
    <w:rsid w:val="003B5235"/>
    <w:rsid w:val="00537050"/>
    <w:rsid w:val="00560F75"/>
    <w:rsid w:val="005F6DF9"/>
    <w:rsid w:val="00616319"/>
    <w:rsid w:val="00624A7F"/>
    <w:rsid w:val="008D7044"/>
    <w:rsid w:val="00A54F70"/>
    <w:rsid w:val="00A74CCD"/>
    <w:rsid w:val="00A83025"/>
    <w:rsid w:val="00A97A2A"/>
    <w:rsid w:val="00C809C6"/>
    <w:rsid w:val="00CA40CE"/>
    <w:rsid w:val="00DD0048"/>
    <w:rsid w:val="00F0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9053"/>
  <w15:chartTrackingRefBased/>
  <w15:docId w15:val="{5925FAE8-2AB0-4DEB-9FD8-D185B618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CCD"/>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A74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CCD"/>
    <w:rPr>
      <w:rFonts w:eastAsiaTheme="majorEastAsia" w:cstheme="majorBidi"/>
      <w:color w:val="272727" w:themeColor="text1" w:themeTint="D8"/>
    </w:rPr>
  </w:style>
  <w:style w:type="paragraph" w:styleId="Title">
    <w:name w:val="Title"/>
    <w:basedOn w:val="Normal"/>
    <w:next w:val="Normal"/>
    <w:link w:val="TitleChar"/>
    <w:uiPriority w:val="10"/>
    <w:qFormat/>
    <w:rsid w:val="00A74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CCD"/>
    <w:pPr>
      <w:spacing w:before="160"/>
      <w:jc w:val="center"/>
    </w:pPr>
    <w:rPr>
      <w:i/>
      <w:iCs/>
      <w:color w:val="404040" w:themeColor="text1" w:themeTint="BF"/>
    </w:rPr>
  </w:style>
  <w:style w:type="character" w:customStyle="1" w:styleId="QuoteChar">
    <w:name w:val="Quote Char"/>
    <w:basedOn w:val="DefaultParagraphFont"/>
    <w:link w:val="Quote"/>
    <w:uiPriority w:val="29"/>
    <w:rsid w:val="00A74CCD"/>
    <w:rPr>
      <w:i/>
      <w:iCs/>
      <w:color w:val="404040" w:themeColor="text1" w:themeTint="BF"/>
    </w:rPr>
  </w:style>
  <w:style w:type="paragraph" w:styleId="ListParagraph">
    <w:name w:val="List Paragraph"/>
    <w:basedOn w:val="Normal"/>
    <w:uiPriority w:val="34"/>
    <w:qFormat/>
    <w:rsid w:val="00A74CCD"/>
    <w:pPr>
      <w:ind w:left="720"/>
      <w:contextualSpacing/>
    </w:pPr>
  </w:style>
  <w:style w:type="character" w:styleId="IntenseEmphasis">
    <w:name w:val="Intense Emphasis"/>
    <w:basedOn w:val="DefaultParagraphFont"/>
    <w:uiPriority w:val="21"/>
    <w:qFormat/>
    <w:rsid w:val="00A74CCD"/>
    <w:rPr>
      <w:i/>
      <w:iCs/>
      <w:color w:val="0F4761" w:themeColor="accent1" w:themeShade="BF"/>
    </w:rPr>
  </w:style>
  <w:style w:type="paragraph" w:styleId="IntenseQuote">
    <w:name w:val="Intense Quote"/>
    <w:basedOn w:val="Normal"/>
    <w:next w:val="Normal"/>
    <w:link w:val="IntenseQuoteChar"/>
    <w:uiPriority w:val="30"/>
    <w:qFormat/>
    <w:rsid w:val="00A74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CCD"/>
    <w:rPr>
      <w:i/>
      <w:iCs/>
      <w:color w:val="0F4761" w:themeColor="accent1" w:themeShade="BF"/>
    </w:rPr>
  </w:style>
  <w:style w:type="character" w:styleId="IntenseReference">
    <w:name w:val="Intense Reference"/>
    <w:basedOn w:val="DefaultParagraphFont"/>
    <w:uiPriority w:val="32"/>
    <w:qFormat/>
    <w:rsid w:val="00A74CCD"/>
    <w:rPr>
      <w:b/>
      <w:bCs/>
      <w:smallCaps/>
      <w:color w:val="0F4761" w:themeColor="accent1" w:themeShade="BF"/>
      <w:spacing w:val="5"/>
    </w:rPr>
  </w:style>
  <w:style w:type="table" w:styleId="TableGrid">
    <w:name w:val="Table Grid"/>
    <w:basedOn w:val="TableNormal"/>
    <w:uiPriority w:val="59"/>
    <w:rsid w:val="00A74CCD"/>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Miller</dc:creator>
  <cp:keywords/>
  <dc:description/>
  <cp:lastModifiedBy>Katrina Miller</cp:lastModifiedBy>
  <cp:revision>6</cp:revision>
  <dcterms:created xsi:type="dcterms:W3CDTF">2025-06-11T15:53:00Z</dcterms:created>
  <dcterms:modified xsi:type="dcterms:W3CDTF">2025-06-21T14:47:00Z</dcterms:modified>
</cp:coreProperties>
</file>