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49BB" w14:textId="4E7F15BB" w:rsidR="005418BA" w:rsidRDefault="005418BA" w:rsidP="005418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174"/>
        <w:tblOverlap w:val="never"/>
        <w:tblW w:w="14904" w:type="dxa"/>
        <w:tblLook w:val="04A0" w:firstRow="1" w:lastRow="0" w:firstColumn="1" w:lastColumn="0" w:noHBand="0" w:noVBand="1"/>
      </w:tblPr>
      <w:tblGrid>
        <w:gridCol w:w="3114"/>
        <w:gridCol w:w="11790"/>
      </w:tblGrid>
      <w:tr w:rsidR="000E0C85" w14:paraId="5598AFF0" w14:textId="77777777" w:rsidTr="000E0C85">
        <w:trPr>
          <w:trHeight w:val="255"/>
        </w:trPr>
        <w:tc>
          <w:tcPr>
            <w:tcW w:w="3114" w:type="dxa"/>
            <w:shd w:val="clear" w:color="auto" w:fill="FFFF00"/>
          </w:tcPr>
          <w:p w14:paraId="0709531E" w14:textId="12CBDD12" w:rsidR="000E0C85" w:rsidRPr="000E0C85" w:rsidRDefault="000E0C85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0C85">
              <w:rPr>
                <w:rFonts w:ascii="Arial" w:hAnsi="Arial" w:cs="Arial"/>
                <w:b/>
                <w:bCs/>
                <w:sz w:val="28"/>
                <w:szCs w:val="28"/>
              </w:rPr>
              <w:t>Trusted Technique</w:t>
            </w:r>
          </w:p>
        </w:tc>
        <w:tc>
          <w:tcPr>
            <w:tcW w:w="11790" w:type="dxa"/>
            <w:shd w:val="clear" w:color="auto" w:fill="FFFF00"/>
          </w:tcPr>
          <w:p w14:paraId="0BC66837" w14:textId="21D8B03F" w:rsidR="000E0C85" w:rsidRPr="000E0C85" w:rsidRDefault="000E0C85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E0C85">
              <w:rPr>
                <w:rFonts w:ascii="Arial" w:hAnsi="Arial" w:cs="Arial"/>
                <w:b/>
                <w:bCs/>
                <w:sz w:val="28"/>
                <w:szCs w:val="28"/>
              </w:rPr>
              <w:t>Key Features of Focus</w:t>
            </w:r>
          </w:p>
        </w:tc>
      </w:tr>
      <w:tr w:rsidR="000E0C85" w14:paraId="079F7923" w14:textId="77777777" w:rsidTr="000E0C85">
        <w:trPr>
          <w:trHeight w:val="1122"/>
        </w:trPr>
        <w:tc>
          <w:tcPr>
            <w:tcW w:w="3114" w:type="dxa"/>
          </w:tcPr>
          <w:p w14:paraId="5DA27F99" w14:textId="1156B991" w:rsidR="000E0C85" w:rsidRDefault="001213DA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Led Learning </w:t>
            </w:r>
          </w:p>
        </w:tc>
        <w:tc>
          <w:tcPr>
            <w:tcW w:w="11790" w:type="dxa"/>
          </w:tcPr>
          <w:p w14:paraId="3E0602A0" w14:textId="7D2BCC40" w:rsidR="000E0C85" w:rsidRDefault="001213DA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Pupils were given Learning Intentions and Success Criteria. They were then given a set of information which was in the form of video clips, geographical articles or information posters, the pupils would use these to learn about a specific section of the course. Pupils would create their notes as part of their homework/ in class task ensuring that they had met the Learning Intention and Success Criteria. In class we would go over the learning with discussions and a quiz to consolidate learning. </w:t>
            </w:r>
          </w:p>
        </w:tc>
      </w:tr>
      <w:tr w:rsidR="000E0C85" w14:paraId="24E9E10F" w14:textId="77777777" w:rsidTr="000E0C85">
        <w:trPr>
          <w:trHeight w:val="1266"/>
        </w:trPr>
        <w:tc>
          <w:tcPr>
            <w:tcW w:w="3114" w:type="dxa"/>
          </w:tcPr>
          <w:p w14:paraId="0BF6F25C" w14:textId="77F09DE2" w:rsidR="000E0C85" w:rsidRDefault="001018CE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Quiz</w:t>
            </w:r>
          </w:p>
        </w:tc>
        <w:tc>
          <w:tcPr>
            <w:tcW w:w="11790" w:type="dxa"/>
          </w:tcPr>
          <w:p w14:paraId="1BBC6135" w14:textId="1207BB1E" w:rsidR="000E0C85" w:rsidRDefault="001018CE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was used in the majority of lessons to check understanding of key terms and key concepts to make sure there was no misunderstandings. </w:t>
            </w:r>
          </w:p>
        </w:tc>
      </w:tr>
    </w:tbl>
    <w:tbl>
      <w:tblPr>
        <w:tblStyle w:val="TableGrid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3114"/>
        <w:gridCol w:w="9781"/>
      </w:tblGrid>
      <w:tr w:rsidR="000E0C85" w14:paraId="68A996F4" w14:textId="77777777" w:rsidTr="000E0C85">
        <w:tc>
          <w:tcPr>
            <w:tcW w:w="3114" w:type="dxa"/>
            <w:shd w:val="clear" w:color="auto" w:fill="FF0000"/>
          </w:tcPr>
          <w:p w14:paraId="5F83A3BE" w14:textId="04DA0EE1" w:rsidR="000E0C85" w:rsidRPr="008F118C" w:rsidRDefault="000E0C85" w:rsidP="000E0C85">
            <w:pPr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F118C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Element of Pedagogy</w:t>
            </w:r>
          </w:p>
        </w:tc>
        <w:tc>
          <w:tcPr>
            <w:tcW w:w="9781" w:type="dxa"/>
            <w:shd w:val="clear" w:color="auto" w:fill="FF0000"/>
          </w:tcPr>
          <w:p w14:paraId="582D9B3F" w14:textId="0D3361DB" w:rsidR="000E0C85" w:rsidRPr="008F118C" w:rsidRDefault="008F118C" w:rsidP="000E0C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118C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Specific Area of Focus</w:t>
            </w:r>
          </w:p>
        </w:tc>
      </w:tr>
      <w:tr w:rsidR="000E0C85" w14:paraId="53DCF4BB" w14:textId="77777777" w:rsidTr="008F118C">
        <w:trPr>
          <w:trHeight w:val="1340"/>
        </w:trPr>
        <w:tc>
          <w:tcPr>
            <w:tcW w:w="3114" w:type="dxa"/>
          </w:tcPr>
          <w:p w14:paraId="4D10EB07" w14:textId="0C4C8975" w:rsidR="000E0C85" w:rsidRPr="000E0C85" w:rsidRDefault="001213DA" w:rsidP="000E0C85">
            <w:pPr>
              <w:rPr>
                <w:rFonts w:ascii="Aptos" w:hAnsi="Aptos" w:cs="Arial"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 xml:space="preserve">Flip Learning Method </w:t>
            </w:r>
          </w:p>
        </w:tc>
        <w:tc>
          <w:tcPr>
            <w:tcW w:w="9781" w:type="dxa"/>
          </w:tcPr>
          <w:p w14:paraId="1D1543F6" w14:textId="1D951290" w:rsidR="000E0C85" w:rsidRDefault="001213DA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use of the flip learning method as a method for independent student led learning. </w:t>
            </w:r>
          </w:p>
        </w:tc>
      </w:tr>
    </w:tbl>
    <w:tbl>
      <w:tblPr>
        <w:tblStyle w:val="TableGrid"/>
        <w:tblpPr w:leftFromText="180" w:rightFromText="180" w:vertAnchor="text" w:horzAnchor="margin" w:tblpY="5278"/>
        <w:tblOverlap w:val="never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0E0C85" w14:paraId="5E4A4868" w14:textId="77777777" w:rsidTr="000E0C85">
        <w:tc>
          <w:tcPr>
            <w:tcW w:w="14879" w:type="dxa"/>
            <w:shd w:val="clear" w:color="auto" w:fill="002060"/>
          </w:tcPr>
          <w:p w14:paraId="6420EDA9" w14:textId="1B3228F8" w:rsidR="000E0C85" w:rsidRPr="000E0C85" w:rsidRDefault="000E0C85" w:rsidP="000E0C85">
            <w:pP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E0C85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Reflection</w:t>
            </w:r>
            <w:r w:rsidR="000B7E6C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 xml:space="preserve"> and Impact</w:t>
            </w:r>
          </w:p>
        </w:tc>
      </w:tr>
      <w:tr w:rsidR="000E0C85" w14:paraId="44BDFCD0" w14:textId="77777777" w:rsidTr="000E0C85">
        <w:trPr>
          <w:trHeight w:val="2904"/>
        </w:trPr>
        <w:tc>
          <w:tcPr>
            <w:tcW w:w="14879" w:type="dxa"/>
          </w:tcPr>
          <w:p w14:paraId="62C899B7" w14:textId="225F1FE3" w:rsidR="000E0C85" w:rsidRDefault="001213DA" w:rsidP="000E0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felt that students liked this and created a culture of independent learning. The class were able to engage in a lot more discussion. The use of the quiz to consolidate learning helped me to identify any misconceptions and adjust my resources accordingly. </w:t>
            </w:r>
            <w:r w:rsidR="0046609E">
              <w:rPr>
                <w:rFonts w:ascii="Arial" w:hAnsi="Arial" w:cs="Arial"/>
                <w:sz w:val="24"/>
                <w:szCs w:val="24"/>
              </w:rPr>
              <w:t xml:space="preserve">Overall the pupils enjoyed the tasks and the discussions- pupils felt that they understood the topic better and most enjoyed the independent learning aspect of it. </w:t>
            </w:r>
          </w:p>
        </w:tc>
      </w:tr>
    </w:tbl>
    <w:p w14:paraId="78724527" w14:textId="31D9976A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0E0C85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673D" w14:textId="77777777" w:rsidR="00BC40F7" w:rsidRDefault="00BC40F7" w:rsidP="000E0C85">
      <w:r>
        <w:separator/>
      </w:r>
    </w:p>
  </w:endnote>
  <w:endnote w:type="continuationSeparator" w:id="0">
    <w:p w14:paraId="6C967F85" w14:textId="77777777" w:rsidR="00BC40F7" w:rsidRDefault="00BC40F7" w:rsidP="000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B823" w14:textId="77777777" w:rsidR="00BC40F7" w:rsidRDefault="00BC40F7" w:rsidP="000E0C85">
      <w:r>
        <w:separator/>
      </w:r>
    </w:p>
  </w:footnote>
  <w:footnote w:type="continuationSeparator" w:id="0">
    <w:p w14:paraId="36B68238" w14:textId="77777777" w:rsidR="00BC40F7" w:rsidRDefault="00BC40F7" w:rsidP="000E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4F00" w14:textId="41C72684" w:rsidR="000E0C85" w:rsidRPr="000E0C85" w:rsidRDefault="000E0C85">
    <w:pPr>
      <w:pStyle w:val="Header"/>
      <w:rPr>
        <w:rFonts w:ascii="Aptos" w:hAnsi="Aptos"/>
        <w:sz w:val="72"/>
        <w:szCs w:val="72"/>
      </w:rPr>
    </w:pPr>
    <w:r w:rsidRPr="000E0C85">
      <w:rPr>
        <w:rFonts w:ascii="Aptos" w:hAnsi="Aptos"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19D6E9FF" wp14:editId="668D8826">
          <wp:simplePos x="0" y="0"/>
          <wp:positionH relativeFrom="column">
            <wp:posOffset>8391525</wp:posOffset>
          </wp:positionH>
          <wp:positionV relativeFrom="paragraph">
            <wp:posOffset>-326390</wp:posOffset>
          </wp:positionV>
          <wp:extent cx="1261745" cy="1810385"/>
          <wp:effectExtent l="0" t="0" r="0" b="0"/>
          <wp:wrapNone/>
          <wp:docPr id="9021355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0C85">
      <w:rPr>
        <w:rFonts w:ascii="Aptos" w:hAnsi="Aptos"/>
        <w:sz w:val="72"/>
        <w:szCs w:val="72"/>
      </w:rPr>
      <w:t>Individual Pedagogy Improvement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85"/>
    <w:rsid w:val="000B7E6C"/>
    <w:rsid w:val="000D7179"/>
    <w:rsid w:val="000E0C85"/>
    <w:rsid w:val="001018CE"/>
    <w:rsid w:val="001213DA"/>
    <w:rsid w:val="00307E15"/>
    <w:rsid w:val="0046609E"/>
    <w:rsid w:val="005418BA"/>
    <w:rsid w:val="006606F2"/>
    <w:rsid w:val="006A7255"/>
    <w:rsid w:val="007A23DE"/>
    <w:rsid w:val="008F118C"/>
    <w:rsid w:val="00A73A23"/>
    <w:rsid w:val="00B06E68"/>
    <w:rsid w:val="00BC40F7"/>
    <w:rsid w:val="00D52397"/>
    <w:rsid w:val="00ED3CC8"/>
    <w:rsid w:val="00EE3490"/>
    <w:rsid w:val="00F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BD0C4"/>
  <w15:chartTrackingRefBased/>
  <w15:docId w15:val="{9C548074-142F-4069-AABB-0A9A79F2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C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C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C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C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C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C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8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8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C85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C85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C8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C85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C8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C85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E0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C8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C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C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0C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C85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E0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C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C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C85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E0C8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E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Lawrie</dc:creator>
  <cp:keywords/>
  <dc:description/>
  <cp:lastModifiedBy>Mhari Wilson-ed</cp:lastModifiedBy>
  <cp:revision>4</cp:revision>
  <dcterms:created xsi:type="dcterms:W3CDTF">2025-11-06T14:23:00Z</dcterms:created>
  <dcterms:modified xsi:type="dcterms:W3CDTF">2025-11-13T09:42:00Z</dcterms:modified>
</cp:coreProperties>
</file>