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49BB" w14:textId="4E7F15BB" w:rsidR="005418BA" w:rsidRDefault="005418BA" w:rsidP="005418BA">
      <w:pPr>
        <w:rPr>
          <w:rFonts w:ascii="Arial" w:hAnsi="Arial" w:cs="Arial"/>
          <w:sz w:val="24"/>
          <w:szCs w:val="24"/>
        </w:rPr>
      </w:pPr>
    </w:p>
    <w:tbl>
      <w:tblPr>
        <w:tblStyle w:val="TableGrid"/>
        <w:tblpPr w:leftFromText="180" w:rightFromText="180" w:vertAnchor="text" w:horzAnchor="margin" w:tblpY="2174"/>
        <w:tblOverlap w:val="never"/>
        <w:tblW w:w="14904" w:type="dxa"/>
        <w:tblLook w:val="04A0" w:firstRow="1" w:lastRow="0" w:firstColumn="1" w:lastColumn="0" w:noHBand="0" w:noVBand="1"/>
      </w:tblPr>
      <w:tblGrid>
        <w:gridCol w:w="3114"/>
        <w:gridCol w:w="11790"/>
      </w:tblGrid>
      <w:tr w:rsidR="000E0C85" w14:paraId="5598AFF0" w14:textId="77777777" w:rsidTr="000E0C85">
        <w:trPr>
          <w:trHeight w:val="255"/>
        </w:trPr>
        <w:tc>
          <w:tcPr>
            <w:tcW w:w="3114" w:type="dxa"/>
            <w:shd w:val="clear" w:color="auto" w:fill="FFFF00"/>
          </w:tcPr>
          <w:p w14:paraId="0709531E" w14:textId="12CBDD12" w:rsidR="000E0C85" w:rsidRPr="000E0C85" w:rsidRDefault="000E0C85" w:rsidP="000E0C85">
            <w:pPr>
              <w:rPr>
                <w:rFonts w:ascii="Arial" w:hAnsi="Arial" w:cs="Arial"/>
                <w:b/>
                <w:bCs/>
                <w:sz w:val="28"/>
                <w:szCs w:val="28"/>
              </w:rPr>
            </w:pPr>
            <w:r w:rsidRPr="000E0C85">
              <w:rPr>
                <w:rFonts w:ascii="Arial" w:hAnsi="Arial" w:cs="Arial"/>
                <w:b/>
                <w:bCs/>
                <w:sz w:val="28"/>
                <w:szCs w:val="28"/>
              </w:rPr>
              <w:t>Trusted Technique</w:t>
            </w:r>
          </w:p>
        </w:tc>
        <w:tc>
          <w:tcPr>
            <w:tcW w:w="11790" w:type="dxa"/>
            <w:shd w:val="clear" w:color="auto" w:fill="FFFF00"/>
          </w:tcPr>
          <w:p w14:paraId="0BC66837" w14:textId="21D8B03F" w:rsidR="000E0C85" w:rsidRPr="000E0C85" w:rsidRDefault="000E0C85" w:rsidP="000E0C85">
            <w:pPr>
              <w:rPr>
                <w:rFonts w:ascii="Arial" w:hAnsi="Arial" w:cs="Arial"/>
                <w:b/>
                <w:bCs/>
                <w:sz w:val="28"/>
                <w:szCs w:val="28"/>
              </w:rPr>
            </w:pPr>
            <w:r w:rsidRPr="000E0C85">
              <w:rPr>
                <w:rFonts w:ascii="Arial" w:hAnsi="Arial" w:cs="Arial"/>
                <w:b/>
                <w:bCs/>
                <w:sz w:val="28"/>
                <w:szCs w:val="28"/>
              </w:rPr>
              <w:t>Key Features of Focus</w:t>
            </w:r>
          </w:p>
        </w:tc>
      </w:tr>
      <w:tr w:rsidR="000E0C85" w14:paraId="079F7923" w14:textId="77777777" w:rsidTr="000E0C85">
        <w:trPr>
          <w:trHeight w:val="1122"/>
        </w:trPr>
        <w:tc>
          <w:tcPr>
            <w:tcW w:w="3114" w:type="dxa"/>
          </w:tcPr>
          <w:p w14:paraId="427DE526" w14:textId="77777777" w:rsidR="000E0C85" w:rsidRDefault="000E0C85" w:rsidP="000E0C85">
            <w:pPr>
              <w:rPr>
                <w:rFonts w:ascii="Arial" w:hAnsi="Arial" w:cs="Arial"/>
                <w:sz w:val="24"/>
                <w:szCs w:val="24"/>
              </w:rPr>
            </w:pPr>
          </w:p>
          <w:p w14:paraId="23FCA1C8" w14:textId="77777777" w:rsidR="00571B86" w:rsidRPr="00571B86" w:rsidRDefault="00571B86" w:rsidP="00571B86">
            <w:pPr>
              <w:rPr>
                <w:rFonts w:ascii="Arial" w:hAnsi="Arial" w:cs="Arial"/>
                <w:sz w:val="24"/>
                <w:szCs w:val="24"/>
              </w:rPr>
            </w:pPr>
            <w:r w:rsidRPr="00571B86">
              <w:rPr>
                <w:rFonts w:ascii="Arial" w:hAnsi="Arial" w:cs="Arial"/>
                <w:sz w:val="24"/>
                <w:szCs w:val="24"/>
              </w:rPr>
              <w:t>Inside–Outside Circle (Quiz–Quiz–Trade)</w:t>
            </w:r>
          </w:p>
          <w:p w14:paraId="5DA27F99" w14:textId="77777777" w:rsidR="00571B86" w:rsidRDefault="00571B86" w:rsidP="000E0C85">
            <w:pPr>
              <w:rPr>
                <w:rFonts w:ascii="Arial" w:hAnsi="Arial" w:cs="Arial"/>
                <w:sz w:val="24"/>
                <w:szCs w:val="24"/>
              </w:rPr>
            </w:pPr>
          </w:p>
        </w:tc>
        <w:tc>
          <w:tcPr>
            <w:tcW w:w="11790" w:type="dxa"/>
          </w:tcPr>
          <w:p w14:paraId="3E0602A0" w14:textId="7F055945" w:rsidR="000E0C85" w:rsidRDefault="00404DD0" w:rsidP="000E0C85">
            <w:pPr>
              <w:rPr>
                <w:rFonts w:ascii="Arial" w:hAnsi="Arial" w:cs="Arial"/>
                <w:sz w:val="24"/>
                <w:szCs w:val="24"/>
              </w:rPr>
            </w:pPr>
            <w:r w:rsidRPr="00404DD0">
              <w:rPr>
                <w:rFonts w:ascii="Arial" w:hAnsi="Arial" w:cs="Arial"/>
                <w:b/>
                <w:bCs/>
                <w:sz w:val="24"/>
                <w:szCs w:val="24"/>
              </w:rPr>
              <w:t>Inside–Outside Circle (Quiz-Quiz-Trade format)</w:t>
            </w:r>
            <w:r w:rsidRPr="00404DD0">
              <w:rPr>
                <w:rFonts w:ascii="Arial" w:hAnsi="Arial" w:cs="Arial"/>
                <w:sz w:val="24"/>
                <w:szCs w:val="24"/>
              </w:rPr>
              <w:t xml:space="preserve"> involves pupils forming two facing circles to quiz each other using prepared question cards. After each round, they swap cards and rotate to new partners, allowing repeated practice with questions of varying complexity. Through this interactive process, pupils engage in </w:t>
            </w:r>
            <w:r w:rsidRPr="00404DD0">
              <w:rPr>
                <w:rFonts w:ascii="Arial" w:hAnsi="Arial" w:cs="Arial"/>
                <w:b/>
                <w:bCs/>
                <w:sz w:val="24"/>
                <w:szCs w:val="24"/>
              </w:rPr>
              <w:t>peer assessment</w:t>
            </w:r>
            <w:r w:rsidRPr="00404DD0">
              <w:rPr>
                <w:rFonts w:ascii="Arial" w:hAnsi="Arial" w:cs="Arial"/>
                <w:sz w:val="24"/>
                <w:szCs w:val="24"/>
              </w:rPr>
              <w:t xml:space="preserve"> as they question, respond, and provide feedback to one another, recognising strengths and identifying areas for improvement. This ongoing exchange promotes deeper understanding, enhances retrieval of key concepts, and builds confidence in applying knowledge across different contexts.</w:t>
            </w:r>
          </w:p>
        </w:tc>
      </w:tr>
      <w:tr w:rsidR="000E0C85" w14:paraId="24E9E10F" w14:textId="77777777" w:rsidTr="000E0C85">
        <w:trPr>
          <w:trHeight w:val="1266"/>
        </w:trPr>
        <w:tc>
          <w:tcPr>
            <w:tcW w:w="3114" w:type="dxa"/>
          </w:tcPr>
          <w:p w14:paraId="65E8F125" w14:textId="77777777" w:rsidR="000E0C85" w:rsidRDefault="000E0C85" w:rsidP="000E0C85">
            <w:pPr>
              <w:rPr>
                <w:rFonts w:ascii="Arial" w:hAnsi="Arial" w:cs="Arial"/>
                <w:sz w:val="24"/>
                <w:szCs w:val="24"/>
              </w:rPr>
            </w:pPr>
          </w:p>
          <w:p w14:paraId="61D5726E" w14:textId="77777777" w:rsidR="00571B86" w:rsidRPr="00571B86" w:rsidRDefault="00571B86" w:rsidP="00571B86">
            <w:pPr>
              <w:rPr>
                <w:rFonts w:ascii="Arial" w:hAnsi="Arial" w:cs="Arial"/>
                <w:sz w:val="24"/>
                <w:szCs w:val="24"/>
              </w:rPr>
            </w:pPr>
            <w:r w:rsidRPr="00571B86">
              <w:rPr>
                <w:rFonts w:ascii="Arial" w:hAnsi="Arial" w:cs="Arial"/>
                <w:sz w:val="24"/>
                <w:szCs w:val="24"/>
              </w:rPr>
              <w:t>Showdown</w:t>
            </w:r>
          </w:p>
          <w:p w14:paraId="0BF6F25C" w14:textId="77777777" w:rsidR="00571B86" w:rsidRDefault="00571B86" w:rsidP="000E0C85">
            <w:pPr>
              <w:rPr>
                <w:rFonts w:ascii="Arial" w:hAnsi="Arial" w:cs="Arial"/>
                <w:sz w:val="24"/>
                <w:szCs w:val="24"/>
              </w:rPr>
            </w:pPr>
          </w:p>
        </w:tc>
        <w:tc>
          <w:tcPr>
            <w:tcW w:w="11790" w:type="dxa"/>
          </w:tcPr>
          <w:p w14:paraId="6430E7D4" w14:textId="77777777" w:rsidR="000E0C85" w:rsidRDefault="000E0C85" w:rsidP="000E0C85">
            <w:pPr>
              <w:rPr>
                <w:rFonts w:ascii="Arial" w:hAnsi="Arial" w:cs="Arial"/>
                <w:sz w:val="24"/>
                <w:szCs w:val="24"/>
              </w:rPr>
            </w:pPr>
          </w:p>
          <w:p w14:paraId="1BBC6135" w14:textId="7D413922" w:rsidR="00856B71" w:rsidRDefault="00856B71" w:rsidP="000E0C85">
            <w:pPr>
              <w:rPr>
                <w:rFonts w:ascii="Arial" w:hAnsi="Arial" w:cs="Arial"/>
                <w:sz w:val="24"/>
                <w:szCs w:val="24"/>
              </w:rPr>
            </w:pPr>
            <w:r w:rsidRPr="00856B71">
              <w:rPr>
                <w:rFonts w:ascii="Arial" w:hAnsi="Arial" w:cs="Arial"/>
                <w:sz w:val="24"/>
                <w:szCs w:val="24"/>
              </w:rPr>
              <w:t>Showdown allows groups to collaboratively generate and justify answers before revealing them, developing critical thinking, reasoning, and self-regulation.</w:t>
            </w:r>
          </w:p>
        </w:tc>
      </w:tr>
      <w:tr w:rsidR="00571B86" w14:paraId="56D72A58" w14:textId="77777777" w:rsidTr="000E0C85">
        <w:trPr>
          <w:trHeight w:val="1266"/>
        </w:trPr>
        <w:tc>
          <w:tcPr>
            <w:tcW w:w="3114" w:type="dxa"/>
          </w:tcPr>
          <w:p w14:paraId="2D4C9C4A" w14:textId="77777777" w:rsidR="00571B86" w:rsidRDefault="00571B86" w:rsidP="000E0C85">
            <w:pPr>
              <w:rPr>
                <w:rFonts w:ascii="Arial" w:hAnsi="Arial" w:cs="Arial"/>
                <w:sz w:val="24"/>
                <w:szCs w:val="24"/>
              </w:rPr>
            </w:pPr>
          </w:p>
          <w:p w14:paraId="486178CF" w14:textId="77777777" w:rsidR="003C3EAA" w:rsidRPr="003C3EAA" w:rsidRDefault="003C3EAA" w:rsidP="003C3EAA">
            <w:pPr>
              <w:rPr>
                <w:rFonts w:ascii="Arial" w:hAnsi="Arial" w:cs="Arial"/>
                <w:sz w:val="24"/>
                <w:szCs w:val="24"/>
              </w:rPr>
            </w:pPr>
            <w:r w:rsidRPr="003C3EAA">
              <w:rPr>
                <w:rFonts w:ascii="Arial" w:hAnsi="Arial" w:cs="Arial"/>
                <w:sz w:val="24"/>
                <w:szCs w:val="24"/>
              </w:rPr>
              <w:t>Mix–Pair–Share</w:t>
            </w:r>
          </w:p>
          <w:p w14:paraId="5A8600F4" w14:textId="77777777" w:rsidR="003C3EAA" w:rsidRDefault="003C3EAA" w:rsidP="000E0C85">
            <w:pPr>
              <w:rPr>
                <w:rFonts w:ascii="Arial" w:hAnsi="Arial" w:cs="Arial"/>
                <w:sz w:val="24"/>
                <w:szCs w:val="24"/>
              </w:rPr>
            </w:pPr>
          </w:p>
        </w:tc>
        <w:tc>
          <w:tcPr>
            <w:tcW w:w="11790" w:type="dxa"/>
          </w:tcPr>
          <w:p w14:paraId="046DB3BA" w14:textId="77777777" w:rsidR="00571B86" w:rsidRDefault="00571B86" w:rsidP="000E0C85">
            <w:pPr>
              <w:rPr>
                <w:rFonts w:ascii="Arial" w:hAnsi="Arial" w:cs="Arial"/>
                <w:sz w:val="24"/>
                <w:szCs w:val="24"/>
              </w:rPr>
            </w:pPr>
          </w:p>
          <w:p w14:paraId="058B9814" w14:textId="23C59A4A" w:rsidR="008F3E04" w:rsidRPr="008F3E04" w:rsidRDefault="008F3E04" w:rsidP="008F3E04">
            <w:pPr>
              <w:rPr>
                <w:rFonts w:ascii="Arial" w:hAnsi="Arial" w:cs="Arial"/>
                <w:sz w:val="24"/>
                <w:szCs w:val="24"/>
              </w:rPr>
            </w:pPr>
          </w:p>
          <w:p w14:paraId="5755ED83" w14:textId="77777777" w:rsidR="008F3E04" w:rsidRPr="008F3E04" w:rsidRDefault="008F3E04" w:rsidP="008F3E04">
            <w:pPr>
              <w:rPr>
                <w:rFonts w:ascii="Arial" w:hAnsi="Arial" w:cs="Arial"/>
                <w:sz w:val="24"/>
                <w:szCs w:val="24"/>
              </w:rPr>
            </w:pPr>
            <w:r w:rsidRPr="008F3E04">
              <w:rPr>
                <w:rFonts w:ascii="Arial" w:hAnsi="Arial" w:cs="Arial"/>
                <w:b/>
                <w:bCs/>
                <w:sz w:val="24"/>
                <w:szCs w:val="24"/>
              </w:rPr>
              <w:t>Mix–Pair–Share</w:t>
            </w:r>
            <w:r w:rsidRPr="008F3E04">
              <w:rPr>
                <w:rFonts w:ascii="Arial" w:hAnsi="Arial" w:cs="Arial"/>
                <w:sz w:val="24"/>
                <w:szCs w:val="24"/>
              </w:rPr>
              <w:t xml:space="preserve"> begins with pupils moving around the room (“mix”) until they find a partner (“pair”) to discuss a prompt or question (“share”). This structure encourages active engagement as pupils interact with multiple partners, exchange ideas, and hear different perspectives. Through these repeated dialogues, learners refine their understanding, develop communication skills, and build confidence in expressing their thinking.</w:t>
            </w:r>
          </w:p>
          <w:p w14:paraId="61DF83FB" w14:textId="77777777" w:rsidR="008F3E04" w:rsidRDefault="008F3E04" w:rsidP="000E0C85">
            <w:pPr>
              <w:rPr>
                <w:rFonts w:ascii="Arial" w:hAnsi="Arial" w:cs="Arial"/>
                <w:sz w:val="24"/>
                <w:szCs w:val="24"/>
              </w:rPr>
            </w:pPr>
          </w:p>
        </w:tc>
      </w:tr>
    </w:tbl>
    <w:tbl>
      <w:tblPr>
        <w:tblStyle w:val="TableGrid"/>
        <w:tblpPr w:leftFromText="180" w:rightFromText="180" w:vertAnchor="text" w:horzAnchor="margin" w:tblpY="209"/>
        <w:tblW w:w="0" w:type="auto"/>
        <w:tblLook w:val="04A0" w:firstRow="1" w:lastRow="0" w:firstColumn="1" w:lastColumn="0" w:noHBand="0" w:noVBand="1"/>
      </w:tblPr>
      <w:tblGrid>
        <w:gridCol w:w="3114"/>
        <w:gridCol w:w="9781"/>
      </w:tblGrid>
      <w:tr w:rsidR="000E0C85" w14:paraId="68A996F4" w14:textId="77777777" w:rsidTr="000E0C85">
        <w:tc>
          <w:tcPr>
            <w:tcW w:w="3114" w:type="dxa"/>
            <w:shd w:val="clear" w:color="auto" w:fill="FF0000"/>
          </w:tcPr>
          <w:p w14:paraId="5F83A3BE" w14:textId="04DA0EE1" w:rsidR="000E0C85" w:rsidRPr="008F118C" w:rsidRDefault="000E0C85" w:rsidP="000E0C85">
            <w:pPr>
              <w:rPr>
                <w:rFonts w:ascii="Aptos" w:hAnsi="Aptos" w:cs="Arial"/>
                <w:b/>
                <w:bCs/>
                <w:color w:val="FFFFFF" w:themeColor="background1"/>
                <w:sz w:val="28"/>
                <w:szCs w:val="28"/>
              </w:rPr>
            </w:pPr>
            <w:r w:rsidRPr="008F118C">
              <w:rPr>
                <w:rFonts w:ascii="Aptos" w:hAnsi="Aptos" w:cs="Arial"/>
                <w:b/>
                <w:bCs/>
                <w:color w:val="FFFFFF" w:themeColor="background1"/>
                <w:sz w:val="28"/>
                <w:szCs w:val="28"/>
              </w:rPr>
              <w:t>Element of Pedagogy</w:t>
            </w:r>
          </w:p>
        </w:tc>
        <w:tc>
          <w:tcPr>
            <w:tcW w:w="9781" w:type="dxa"/>
            <w:shd w:val="clear" w:color="auto" w:fill="FF0000"/>
          </w:tcPr>
          <w:p w14:paraId="582D9B3F" w14:textId="0D3361DB" w:rsidR="000E0C85" w:rsidRPr="008F118C" w:rsidRDefault="008F118C" w:rsidP="000E0C85">
            <w:pPr>
              <w:rPr>
                <w:rFonts w:ascii="Arial" w:hAnsi="Arial" w:cs="Arial"/>
                <w:b/>
                <w:bCs/>
                <w:sz w:val="28"/>
                <w:szCs w:val="28"/>
              </w:rPr>
            </w:pPr>
            <w:r w:rsidRPr="008F118C">
              <w:rPr>
                <w:rFonts w:ascii="Aptos" w:hAnsi="Aptos" w:cs="Arial"/>
                <w:b/>
                <w:bCs/>
                <w:color w:val="FFFFFF" w:themeColor="background1"/>
                <w:sz w:val="28"/>
                <w:szCs w:val="28"/>
              </w:rPr>
              <w:t>Specific Area of Focus</w:t>
            </w:r>
          </w:p>
        </w:tc>
      </w:tr>
      <w:tr w:rsidR="000E0C85" w14:paraId="53DCF4BB" w14:textId="77777777" w:rsidTr="008F118C">
        <w:trPr>
          <w:trHeight w:val="1340"/>
        </w:trPr>
        <w:tc>
          <w:tcPr>
            <w:tcW w:w="3114" w:type="dxa"/>
          </w:tcPr>
          <w:p w14:paraId="6826C830" w14:textId="77777777" w:rsidR="000E0C85" w:rsidRPr="00571B86" w:rsidRDefault="000E0C85" w:rsidP="000E0C85">
            <w:pPr>
              <w:rPr>
                <w:rFonts w:ascii="Arial Nova Cond" w:hAnsi="Arial Nova Cond" w:cs="Arial"/>
                <w:sz w:val="28"/>
                <w:szCs w:val="28"/>
              </w:rPr>
            </w:pPr>
          </w:p>
          <w:p w14:paraId="4D10EB07" w14:textId="4EB4F794" w:rsidR="006D5691" w:rsidRPr="00571B86" w:rsidRDefault="006D5691" w:rsidP="000E0C85">
            <w:pPr>
              <w:rPr>
                <w:rFonts w:ascii="Arial Nova Cond" w:hAnsi="Arial Nova Cond" w:cs="Arial"/>
                <w:sz w:val="28"/>
                <w:szCs w:val="28"/>
              </w:rPr>
            </w:pPr>
            <w:r w:rsidRPr="00571B86">
              <w:rPr>
                <w:rFonts w:ascii="Arial Nova Cond" w:hAnsi="Arial Nova Cond" w:cs="Arial"/>
                <w:sz w:val="28"/>
                <w:szCs w:val="28"/>
              </w:rPr>
              <w:t>Cooperative Learning</w:t>
            </w:r>
          </w:p>
        </w:tc>
        <w:tc>
          <w:tcPr>
            <w:tcW w:w="9781" w:type="dxa"/>
          </w:tcPr>
          <w:p w14:paraId="5B526F38" w14:textId="77777777" w:rsidR="000E0C85" w:rsidRPr="00571B86" w:rsidRDefault="000E0C85" w:rsidP="000E0C85">
            <w:pPr>
              <w:rPr>
                <w:rFonts w:ascii="Arial Nova Cond" w:hAnsi="Arial Nova Cond" w:cs="Arial"/>
                <w:sz w:val="24"/>
                <w:szCs w:val="24"/>
              </w:rPr>
            </w:pPr>
          </w:p>
          <w:p w14:paraId="6F7A8A70" w14:textId="2027A375" w:rsidR="00571B86" w:rsidRPr="00571B86" w:rsidRDefault="00571B86" w:rsidP="00571B86">
            <w:pPr>
              <w:rPr>
                <w:rFonts w:ascii="Arial Nova Cond" w:hAnsi="Arial Nova Cond" w:cs="Arial"/>
                <w:sz w:val="24"/>
                <w:szCs w:val="24"/>
              </w:rPr>
            </w:pPr>
            <w:r w:rsidRPr="00571B86">
              <w:rPr>
                <w:rFonts w:ascii="Arial Nova Cond" w:hAnsi="Arial Nova Cond" w:cs="Arial"/>
                <w:sz w:val="24"/>
                <w:szCs w:val="24"/>
              </w:rPr>
              <w:t xml:space="preserve">Use as </w:t>
            </w:r>
            <w:r w:rsidRPr="00571B86">
              <w:rPr>
                <w:rFonts w:ascii="Arial Nova Cond" w:hAnsi="Arial Nova Cond" w:cs="Arial"/>
                <w:sz w:val="24"/>
                <w:szCs w:val="24"/>
              </w:rPr>
              <w:t>cooperative learning structures as a</w:t>
            </w:r>
            <w:r w:rsidRPr="00571B86">
              <w:rPr>
                <w:rFonts w:ascii="Arial Nova Cond" w:hAnsi="Arial Nova Cond" w:cs="Arial"/>
                <w:sz w:val="24"/>
                <w:szCs w:val="24"/>
              </w:rPr>
              <w:t xml:space="preserve"> formative tool to boost student engagement, communication, collaboration, critical thinking, and metacognition.</w:t>
            </w:r>
          </w:p>
          <w:p w14:paraId="1D1543F6" w14:textId="77777777" w:rsidR="006D5691" w:rsidRPr="00571B86" w:rsidRDefault="006D5691" w:rsidP="000E0C85">
            <w:pPr>
              <w:rPr>
                <w:rFonts w:ascii="Arial Nova Cond" w:hAnsi="Arial Nova Cond" w:cs="Arial"/>
                <w:sz w:val="24"/>
                <w:szCs w:val="24"/>
              </w:rPr>
            </w:pPr>
          </w:p>
        </w:tc>
      </w:tr>
    </w:tbl>
    <w:tbl>
      <w:tblPr>
        <w:tblStyle w:val="TableGrid"/>
        <w:tblpPr w:leftFromText="180" w:rightFromText="180" w:vertAnchor="text" w:horzAnchor="margin" w:tblpY="-291"/>
        <w:tblOverlap w:val="never"/>
        <w:tblW w:w="14879" w:type="dxa"/>
        <w:tblLook w:val="04A0" w:firstRow="1" w:lastRow="0" w:firstColumn="1" w:lastColumn="0" w:noHBand="0" w:noVBand="1"/>
      </w:tblPr>
      <w:tblGrid>
        <w:gridCol w:w="14879"/>
      </w:tblGrid>
      <w:tr w:rsidR="000E0C85" w14:paraId="5E4A4868" w14:textId="77777777" w:rsidTr="00571B86">
        <w:tc>
          <w:tcPr>
            <w:tcW w:w="14879" w:type="dxa"/>
            <w:shd w:val="clear" w:color="auto" w:fill="002060"/>
          </w:tcPr>
          <w:p w14:paraId="6420EDA9" w14:textId="1B3228F8" w:rsidR="000E0C85" w:rsidRPr="000E0C85" w:rsidRDefault="000E0C85" w:rsidP="00571B86">
            <w:pPr>
              <w:rPr>
                <w:rFonts w:ascii="Aptos" w:hAnsi="Aptos" w:cs="Arial"/>
                <w:b/>
                <w:bCs/>
                <w:color w:val="FFFFFF" w:themeColor="background1"/>
                <w:sz w:val="24"/>
                <w:szCs w:val="24"/>
              </w:rPr>
            </w:pPr>
            <w:r w:rsidRPr="000E0C85">
              <w:rPr>
                <w:rFonts w:ascii="Aptos" w:hAnsi="Aptos" w:cs="Arial"/>
                <w:b/>
                <w:bCs/>
                <w:color w:val="FFFFFF" w:themeColor="background1"/>
                <w:sz w:val="28"/>
                <w:szCs w:val="28"/>
              </w:rPr>
              <w:lastRenderedPageBreak/>
              <w:t>Reflection</w:t>
            </w:r>
            <w:r w:rsidR="000B7E6C">
              <w:rPr>
                <w:rFonts w:ascii="Aptos" w:hAnsi="Aptos" w:cs="Arial"/>
                <w:b/>
                <w:bCs/>
                <w:color w:val="FFFFFF" w:themeColor="background1"/>
                <w:sz w:val="28"/>
                <w:szCs w:val="28"/>
              </w:rPr>
              <w:t xml:space="preserve"> and Impact</w:t>
            </w:r>
          </w:p>
        </w:tc>
      </w:tr>
      <w:tr w:rsidR="000E0C85" w14:paraId="44BDFCD0" w14:textId="77777777" w:rsidTr="00571B86">
        <w:trPr>
          <w:trHeight w:val="2904"/>
        </w:trPr>
        <w:tc>
          <w:tcPr>
            <w:tcW w:w="14879" w:type="dxa"/>
          </w:tcPr>
          <w:p w14:paraId="5A423F34" w14:textId="77777777" w:rsidR="000E0C85" w:rsidRDefault="000E0C85" w:rsidP="00571B86">
            <w:pPr>
              <w:rPr>
                <w:rFonts w:ascii="Arial" w:hAnsi="Arial" w:cs="Arial"/>
                <w:sz w:val="24"/>
                <w:szCs w:val="24"/>
              </w:rPr>
            </w:pPr>
          </w:p>
          <w:p w14:paraId="62C899B7" w14:textId="3B374BC2" w:rsidR="008F3E04" w:rsidRDefault="008F3E04" w:rsidP="00571B86">
            <w:pPr>
              <w:rPr>
                <w:rFonts w:ascii="Arial" w:hAnsi="Arial" w:cs="Arial"/>
                <w:sz w:val="24"/>
                <w:szCs w:val="24"/>
              </w:rPr>
            </w:pPr>
            <w:r w:rsidRPr="008F3E04">
              <w:rPr>
                <w:rFonts w:ascii="Arial" w:hAnsi="Arial" w:cs="Arial"/>
                <w:sz w:val="24"/>
                <w:szCs w:val="24"/>
              </w:rPr>
              <w:t>Almost all students gave </w:t>
            </w:r>
            <w:r w:rsidRPr="008F3E04">
              <w:rPr>
                <w:rFonts w:ascii="Arial" w:hAnsi="Arial" w:cs="Arial"/>
                <w:b/>
                <w:bCs/>
                <w:sz w:val="24"/>
                <w:szCs w:val="24"/>
              </w:rPr>
              <w:t>positive feedback</w:t>
            </w:r>
            <w:r w:rsidRPr="008F3E04">
              <w:rPr>
                <w:rFonts w:ascii="Arial" w:hAnsi="Arial" w:cs="Arial"/>
                <w:sz w:val="24"/>
                <w:szCs w:val="24"/>
              </w:rPr>
              <w:t>, stating that these cooperative learning strategies </w:t>
            </w:r>
            <w:r w:rsidRPr="008F3E04">
              <w:rPr>
                <w:rFonts w:ascii="Arial" w:hAnsi="Arial" w:cs="Arial"/>
                <w:b/>
                <w:bCs/>
                <w:sz w:val="24"/>
                <w:szCs w:val="24"/>
              </w:rPr>
              <w:t>helped them learn, communicate, and remember</w:t>
            </w:r>
            <w:r w:rsidRPr="008F3E04">
              <w:rPr>
                <w:rFonts w:ascii="Arial" w:hAnsi="Arial" w:cs="Arial"/>
                <w:sz w:val="24"/>
                <w:szCs w:val="24"/>
              </w:rPr>
              <w:t> more effectively.</w:t>
            </w:r>
            <w:r w:rsidRPr="008F3E04">
              <w:rPr>
                <w:rFonts w:ascii="Arial" w:hAnsi="Arial" w:cs="Arial"/>
                <w:sz w:val="24"/>
                <w:szCs w:val="24"/>
              </w:rPr>
              <w:br/>
              <w:t>All pupils </w:t>
            </w:r>
            <w:r w:rsidRPr="008F3E04">
              <w:rPr>
                <w:rFonts w:ascii="Arial" w:hAnsi="Arial" w:cs="Arial"/>
                <w:b/>
                <w:bCs/>
                <w:sz w:val="24"/>
                <w:szCs w:val="24"/>
              </w:rPr>
              <w:t>peer-assessed one another</w:t>
            </w:r>
            <w:r w:rsidRPr="008F3E04">
              <w:rPr>
                <w:rFonts w:ascii="Arial" w:hAnsi="Arial" w:cs="Arial"/>
                <w:sz w:val="24"/>
                <w:szCs w:val="24"/>
              </w:rPr>
              <w:t>, reflecting on both their own and others’ understanding, which promoted </w:t>
            </w:r>
            <w:r w:rsidRPr="008F3E04">
              <w:rPr>
                <w:rFonts w:ascii="Arial" w:hAnsi="Arial" w:cs="Arial"/>
                <w:b/>
                <w:bCs/>
                <w:sz w:val="24"/>
                <w:szCs w:val="24"/>
              </w:rPr>
              <w:t>metacognitive awareness</w:t>
            </w:r>
            <w:r w:rsidRPr="008F3E04">
              <w:rPr>
                <w:rFonts w:ascii="Arial" w:hAnsi="Arial" w:cs="Arial"/>
                <w:sz w:val="24"/>
                <w:szCs w:val="24"/>
              </w:rPr>
              <w:t>.</w:t>
            </w:r>
            <w:r w:rsidRPr="008F3E04">
              <w:rPr>
                <w:rFonts w:ascii="Arial" w:hAnsi="Arial" w:cs="Arial"/>
                <w:sz w:val="24"/>
                <w:szCs w:val="24"/>
              </w:rPr>
              <w:br/>
            </w:r>
            <w:r w:rsidRPr="008F3E04">
              <w:rPr>
                <w:rFonts w:ascii="Arial" w:hAnsi="Arial" w:cs="Arial"/>
                <w:b/>
                <w:bCs/>
                <w:sz w:val="24"/>
                <w:szCs w:val="24"/>
              </w:rPr>
              <w:t>Showdown</w:t>
            </w:r>
            <w:r w:rsidRPr="008F3E04">
              <w:rPr>
                <w:rFonts w:ascii="Arial" w:hAnsi="Arial" w:cs="Arial"/>
                <w:sz w:val="24"/>
                <w:szCs w:val="24"/>
              </w:rPr>
              <w:t> provided an immediate picture of pupil understanding, encouraging rich discussion and </w:t>
            </w:r>
            <w:r w:rsidRPr="008F3E04">
              <w:rPr>
                <w:rFonts w:ascii="Arial" w:hAnsi="Arial" w:cs="Arial"/>
                <w:b/>
                <w:bCs/>
                <w:sz w:val="24"/>
                <w:szCs w:val="24"/>
              </w:rPr>
              <w:t>deeper thinking</w:t>
            </w:r>
            <w:r w:rsidRPr="008F3E04">
              <w:rPr>
                <w:rFonts w:ascii="Arial" w:hAnsi="Arial" w:cs="Arial"/>
                <w:sz w:val="24"/>
                <w:szCs w:val="24"/>
              </w:rPr>
              <w:t> around misconceptions.</w:t>
            </w:r>
            <w:r w:rsidRPr="008F3E04">
              <w:rPr>
                <w:rFonts w:ascii="Arial" w:hAnsi="Arial" w:cs="Arial"/>
                <w:sz w:val="24"/>
                <w:szCs w:val="24"/>
              </w:rPr>
              <w:br/>
            </w:r>
            <w:r w:rsidRPr="008F3E04">
              <w:rPr>
                <w:rFonts w:ascii="Arial" w:hAnsi="Arial" w:cs="Arial"/>
                <w:b/>
                <w:bCs/>
                <w:sz w:val="24"/>
                <w:szCs w:val="24"/>
              </w:rPr>
              <w:t>Mix–Pair–Share</w:t>
            </w:r>
            <w:r w:rsidRPr="008F3E04">
              <w:rPr>
                <w:rFonts w:ascii="Arial" w:hAnsi="Arial" w:cs="Arial"/>
                <w:sz w:val="24"/>
                <w:szCs w:val="24"/>
              </w:rPr>
              <w:t> helped pupils share ideas with a range of classmates, </w:t>
            </w:r>
            <w:r w:rsidRPr="008F3E04">
              <w:rPr>
                <w:rFonts w:ascii="Arial" w:hAnsi="Arial" w:cs="Arial"/>
                <w:b/>
                <w:bCs/>
                <w:sz w:val="24"/>
                <w:szCs w:val="24"/>
              </w:rPr>
              <w:t>learning from one another</w:t>
            </w:r>
            <w:r w:rsidRPr="008F3E04">
              <w:rPr>
                <w:rFonts w:ascii="Arial" w:hAnsi="Arial" w:cs="Arial"/>
                <w:sz w:val="24"/>
                <w:szCs w:val="24"/>
              </w:rPr>
              <w:t> and reinforcing knowledge through repetition and retrieval.</w:t>
            </w:r>
            <w:r w:rsidRPr="008F3E04">
              <w:rPr>
                <w:rFonts w:ascii="Arial" w:hAnsi="Arial" w:cs="Arial"/>
                <w:sz w:val="24"/>
                <w:szCs w:val="24"/>
              </w:rPr>
              <w:br/>
              <w:t>Overall, pupil engagement was high, and retention of key concepts improved as pupils became more confident and reflective learners.</w:t>
            </w:r>
          </w:p>
        </w:tc>
      </w:tr>
    </w:tbl>
    <w:p w14:paraId="78724527" w14:textId="31D9976A" w:rsidR="005418BA" w:rsidRPr="00A73A23" w:rsidRDefault="005418BA" w:rsidP="005418BA">
      <w:pPr>
        <w:rPr>
          <w:rFonts w:ascii="Arial" w:hAnsi="Arial" w:cs="Arial"/>
          <w:sz w:val="24"/>
          <w:szCs w:val="24"/>
        </w:rPr>
      </w:pPr>
    </w:p>
    <w:sectPr w:rsidR="005418BA" w:rsidRPr="00A73A23" w:rsidSect="000E0C85">
      <w:headerReference w:type="default" r:id="rId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ADBA" w14:textId="77777777" w:rsidR="00471117" w:rsidRDefault="00471117" w:rsidP="000E0C85">
      <w:r>
        <w:separator/>
      </w:r>
    </w:p>
  </w:endnote>
  <w:endnote w:type="continuationSeparator" w:id="0">
    <w:p w14:paraId="34565C9E" w14:textId="77777777" w:rsidR="00471117" w:rsidRDefault="00471117" w:rsidP="000E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A7D0" w14:textId="77777777" w:rsidR="00471117" w:rsidRDefault="00471117" w:rsidP="000E0C85">
      <w:r>
        <w:separator/>
      </w:r>
    </w:p>
  </w:footnote>
  <w:footnote w:type="continuationSeparator" w:id="0">
    <w:p w14:paraId="238E2BEB" w14:textId="77777777" w:rsidR="00471117" w:rsidRDefault="00471117" w:rsidP="000E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4F00" w14:textId="41C72684" w:rsidR="000E0C85" w:rsidRPr="000E0C85" w:rsidRDefault="000E0C85">
    <w:pPr>
      <w:pStyle w:val="Header"/>
      <w:rPr>
        <w:rFonts w:ascii="Aptos" w:hAnsi="Aptos"/>
        <w:sz w:val="72"/>
        <w:szCs w:val="72"/>
      </w:rPr>
    </w:pPr>
    <w:r w:rsidRPr="000E0C85">
      <w:rPr>
        <w:rFonts w:ascii="Aptos" w:hAnsi="Aptos"/>
        <w:noProof/>
        <w:sz w:val="72"/>
        <w:szCs w:val="72"/>
      </w:rPr>
      <w:drawing>
        <wp:anchor distT="0" distB="0" distL="114300" distR="114300" simplePos="0" relativeHeight="251658240" behindDoc="1" locked="0" layoutInCell="1" allowOverlap="1" wp14:anchorId="19D6E9FF" wp14:editId="668D8826">
          <wp:simplePos x="0" y="0"/>
          <wp:positionH relativeFrom="column">
            <wp:posOffset>8391525</wp:posOffset>
          </wp:positionH>
          <wp:positionV relativeFrom="paragraph">
            <wp:posOffset>-326390</wp:posOffset>
          </wp:positionV>
          <wp:extent cx="1261745" cy="1810385"/>
          <wp:effectExtent l="0" t="0" r="0" b="0"/>
          <wp:wrapNone/>
          <wp:docPr id="902135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810385"/>
                  </a:xfrm>
                  <a:prstGeom prst="rect">
                    <a:avLst/>
                  </a:prstGeom>
                  <a:noFill/>
                </pic:spPr>
              </pic:pic>
            </a:graphicData>
          </a:graphic>
        </wp:anchor>
      </w:drawing>
    </w:r>
    <w:r w:rsidRPr="000E0C85">
      <w:rPr>
        <w:rFonts w:ascii="Aptos" w:hAnsi="Aptos"/>
        <w:sz w:val="72"/>
        <w:szCs w:val="72"/>
      </w:rPr>
      <w:t>Individual Pedagogy Improvement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A06"/>
    <w:multiLevelType w:val="multilevel"/>
    <w:tmpl w:val="ADA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0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85"/>
    <w:rsid w:val="000B7E6C"/>
    <w:rsid w:val="000E0C85"/>
    <w:rsid w:val="00307E15"/>
    <w:rsid w:val="003C3EAA"/>
    <w:rsid w:val="00404DD0"/>
    <w:rsid w:val="00471117"/>
    <w:rsid w:val="005418BA"/>
    <w:rsid w:val="00571B86"/>
    <w:rsid w:val="006D5691"/>
    <w:rsid w:val="007A23DE"/>
    <w:rsid w:val="00856B71"/>
    <w:rsid w:val="008F118C"/>
    <w:rsid w:val="008F3E04"/>
    <w:rsid w:val="00A73A23"/>
    <w:rsid w:val="00D52397"/>
    <w:rsid w:val="00ED3CC8"/>
    <w:rsid w:val="00EE3490"/>
    <w:rsid w:val="00FC4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D0C4"/>
  <w15:chartTrackingRefBased/>
  <w15:docId w15:val="{9C548074-142F-4069-AABB-0A9A79F2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0E0C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0C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0C8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0C8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0C8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E0C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C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C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C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85"/>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0E0C8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0E0C85"/>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0E0C85"/>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0E0C85"/>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0E0C85"/>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0E0C85"/>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0E0C85"/>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0E0C85"/>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0E0C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C85"/>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0E0C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C85"/>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E0C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0C85"/>
    <w:rPr>
      <w:i/>
      <w:iCs/>
      <w:color w:val="404040" w:themeColor="text1" w:themeTint="BF"/>
      <w:sz w:val="22"/>
      <w:szCs w:val="22"/>
      <w:lang w:eastAsia="en-US"/>
    </w:rPr>
  </w:style>
  <w:style w:type="paragraph" w:styleId="ListParagraph">
    <w:name w:val="List Paragraph"/>
    <w:basedOn w:val="Normal"/>
    <w:uiPriority w:val="34"/>
    <w:qFormat/>
    <w:rsid w:val="000E0C85"/>
    <w:pPr>
      <w:ind w:left="720"/>
      <w:contextualSpacing/>
    </w:pPr>
  </w:style>
  <w:style w:type="character" w:styleId="IntenseEmphasis">
    <w:name w:val="Intense Emphasis"/>
    <w:basedOn w:val="DefaultParagraphFont"/>
    <w:uiPriority w:val="21"/>
    <w:qFormat/>
    <w:rsid w:val="000E0C85"/>
    <w:rPr>
      <w:i/>
      <w:iCs/>
      <w:color w:val="365F91" w:themeColor="accent1" w:themeShade="BF"/>
    </w:rPr>
  </w:style>
  <w:style w:type="paragraph" w:styleId="IntenseQuote">
    <w:name w:val="Intense Quote"/>
    <w:basedOn w:val="Normal"/>
    <w:next w:val="Normal"/>
    <w:link w:val="IntenseQuoteChar"/>
    <w:uiPriority w:val="30"/>
    <w:qFormat/>
    <w:rsid w:val="000E0C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0C85"/>
    <w:rPr>
      <w:i/>
      <w:iCs/>
      <w:color w:val="365F91" w:themeColor="accent1" w:themeShade="BF"/>
      <w:sz w:val="22"/>
      <w:szCs w:val="22"/>
      <w:lang w:eastAsia="en-US"/>
    </w:rPr>
  </w:style>
  <w:style w:type="character" w:styleId="IntenseReference">
    <w:name w:val="Intense Reference"/>
    <w:basedOn w:val="DefaultParagraphFont"/>
    <w:uiPriority w:val="32"/>
    <w:qFormat/>
    <w:rsid w:val="000E0C85"/>
    <w:rPr>
      <w:b/>
      <w:bCs/>
      <w:smallCaps/>
      <w:color w:val="365F91" w:themeColor="accent1" w:themeShade="BF"/>
      <w:spacing w:val="5"/>
    </w:rPr>
  </w:style>
  <w:style w:type="table" w:styleId="TableGrid">
    <w:name w:val="Table Grid"/>
    <w:basedOn w:val="TableNormal"/>
    <w:uiPriority w:val="59"/>
    <w:rsid w:val="000E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C85"/>
    <w:pPr>
      <w:tabs>
        <w:tab w:val="center" w:pos="4513"/>
        <w:tab w:val="right" w:pos="9026"/>
      </w:tabs>
    </w:pPr>
  </w:style>
  <w:style w:type="character" w:customStyle="1" w:styleId="HeaderChar">
    <w:name w:val="Header Char"/>
    <w:basedOn w:val="DefaultParagraphFont"/>
    <w:link w:val="Header"/>
    <w:uiPriority w:val="99"/>
    <w:rsid w:val="000E0C85"/>
    <w:rPr>
      <w:sz w:val="22"/>
      <w:szCs w:val="22"/>
      <w:lang w:eastAsia="en-US"/>
    </w:rPr>
  </w:style>
  <w:style w:type="paragraph" w:styleId="Footer">
    <w:name w:val="footer"/>
    <w:basedOn w:val="Normal"/>
    <w:link w:val="FooterChar"/>
    <w:uiPriority w:val="99"/>
    <w:unhideWhenUsed/>
    <w:rsid w:val="000E0C85"/>
    <w:pPr>
      <w:tabs>
        <w:tab w:val="center" w:pos="4513"/>
        <w:tab w:val="right" w:pos="9026"/>
      </w:tabs>
    </w:pPr>
  </w:style>
  <w:style w:type="character" w:customStyle="1" w:styleId="FooterChar">
    <w:name w:val="Footer Char"/>
    <w:basedOn w:val="DefaultParagraphFont"/>
    <w:link w:val="Footer"/>
    <w:uiPriority w:val="99"/>
    <w:rsid w:val="000E0C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6397">
      <w:bodyDiv w:val="1"/>
      <w:marLeft w:val="0"/>
      <w:marRight w:val="0"/>
      <w:marTop w:val="0"/>
      <w:marBottom w:val="0"/>
      <w:divBdr>
        <w:top w:val="none" w:sz="0" w:space="0" w:color="auto"/>
        <w:left w:val="none" w:sz="0" w:space="0" w:color="auto"/>
        <w:bottom w:val="none" w:sz="0" w:space="0" w:color="auto"/>
        <w:right w:val="none" w:sz="0" w:space="0" w:color="auto"/>
      </w:divBdr>
    </w:div>
    <w:div w:id="478231365">
      <w:bodyDiv w:val="1"/>
      <w:marLeft w:val="0"/>
      <w:marRight w:val="0"/>
      <w:marTop w:val="0"/>
      <w:marBottom w:val="0"/>
      <w:divBdr>
        <w:top w:val="none" w:sz="0" w:space="0" w:color="auto"/>
        <w:left w:val="none" w:sz="0" w:space="0" w:color="auto"/>
        <w:bottom w:val="none" w:sz="0" w:space="0" w:color="auto"/>
        <w:right w:val="none" w:sz="0" w:space="0" w:color="auto"/>
      </w:divBdr>
    </w:div>
    <w:div w:id="563832049">
      <w:bodyDiv w:val="1"/>
      <w:marLeft w:val="0"/>
      <w:marRight w:val="0"/>
      <w:marTop w:val="0"/>
      <w:marBottom w:val="0"/>
      <w:divBdr>
        <w:top w:val="none" w:sz="0" w:space="0" w:color="auto"/>
        <w:left w:val="none" w:sz="0" w:space="0" w:color="auto"/>
        <w:bottom w:val="none" w:sz="0" w:space="0" w:color="auto"/>
        <w:right w:val="none" w:sz="0" w:space="0" w:color="auto"/>
      </w:divBdr>
    </w:div>
    <w:div w:id="644775050">
      <w:bodyDiv w:val="1"/>
      <w:marLeft w:val="0"/>
      <w:marRight w:val="0"/>
      <w:marTop w:val="0"/>
      <w:marBottom w:val="0"/>
      <w:divBdr>
        <w:top w:val="none" w:sz="0" w:space="0" w:color="auto"/>
        <w:left w:val="none" w:sz="0" w:space="0" w:color="auto"/>
        <w:bottom w:val="none" w:sz="0" w:space="0" w:color="auto"/>
        <w:right w:val="none" w:sz="0" w:space="0" w:color="auto"/>
      </w:divBdr>
    </w:div>
    <w:div w:id="650133932">
      <w:bodyDiv w:val="1"/>
      <w:marLeft w:val="0"/>
      <w:marRight w:val="0"/>
      <w:marTop w:val="0"/>
      <w:marBottom w:val="0"/>
      <w:divBdr>
        <w:top w:val="none" w:sz="0" w:space="0" w:color="auto"/>
        <w:left w:val="none" w:sz="0" w:space="0" w:color="auto"/>
        <w:bottom w:val="none" w:sz="0" w:space="0" w:color="auto"/>
        <w:right w:val="none" w:sz="0" w:space="0" w:color="auto"/>
      </w:divBdr>
    </w:div>
    <w:div w:id="935747160">
      <w:bodyDiv w:val="1"/>
      <w:marLeft w:val="0"/>
      <w:marRight w:val="0"/>
      <w:marTop w:val="0"/>
      <w:marBottom w:val="0"/>
      <w:divBdr>
        <w:top w:val="none" w:sz="0" w:space="0" w:color="auto"/>
        <w:left w:val="none" w:sz="0" w:space="0" w:color="auto"/>
        <w:bottom w:val="none" w:sz="0" w:space="0" w:color="auto"/>
        <w:right w:val="none" w:sz="0" w:space="0" w:color="auto"/>
      </w:divBdr>
    </w:div>
    <w:div w:id="1140926274">
      <w:bodyDiv w:val="1"/>
      <w:marLeft w:val="0"/>
      <w:marRight w:val="0"/>
      <w:marTop w:val="0"/>
      <w:marBottom w:val="0"/>
      <w:divBdr>
        <w:top w:val="none" w:sz="0" w:space="0" w:color="auto"/>
        <w:left w:val="none" w:sz="0" w:space="0" w:color="auto"/>
        <w:bottom w:val="none" w:sz="0" w:space="0" w:color="auto"/>
        <w:right w:val="none" w:sz="0" w:space="0" w:color="auto"/>
      </w:divBdr>
    </w:div>
    <w:div w:id="1243492751">
      <w:bodyDiv w:val="1"/>
      <w:marLeft w:val="0"/>
      <w:marRight w:val="0"/>
      <w:marTop w:val="0"/>
      <w:marBottom w:val="0"/>
      <w:divBdr>
        <w:top w:val="none" w:sz="0" w:space="0" w:color="auto"/>
        <w:left w:val="none" w:sz="0" w:space="0" w:color="auto"/>
        <w:bottom w:val="none" w:sz="0" w:space="0" w:color="auto"/>
        <w:right w:val="none" w:sz="0" w:space="0" w:color="auto"/>
      </w:divBdr>
    </w:div>
    <w:div w:id="1306473207">
      <w:bodyDiv w:val="1"/>
      <w:marLeft w:val="0"/>
      <w:marRight w:val="0"/>
      <w:marTop w:val="0"/>
      <w:marBottom w:val="0"/>
      <w:divBdr>
        <w:top w:val="none" w:sz="0" w:space="0" w:color="auto"/>
        <w:left w:val="none" w:sz="0" w:space="0" w:color="auto"/>
        <w:bottom w:val="none" w:sz="0" w:space="0" w:color="auto"/>
        <w:right w:val="none" w:sz="0" w:space="0" w:color="auto"/>
      </w:divBdr>
    </w:div>
    <w:div w:id="1576669866">
      <w:bodyDiv w:val="1"/>
      <w:marLeft w:val="0"/>
      <w:marRight w:val="0"/>
      <w:marTop w:val="0"/>
      <w:marBottom w:val="0"/>
      <w:divBdr>
        <w:top w:val="none" w:sz="0" w:space="0" w:color="auto"/>
        <w:left w:val="none" w:sz="0" w:space="0" w:color="auto"/>
        <w:bottom w:val="none" w:sz="0" w:space="0" w:color="auto"/>
        <w:right w:val="none" w:sz="0" w:space="0" w:color="auto"/>
      </w:divBdr>
    </w:div>
    <w:div w:id="1637300306">
      <w:bodyDiv w:val="1"/>
      <w:marLeft w:val="0"/>
      <w:marRight w:val="0"/>
      <w:marTop w:val="0"/>
      <w:marBottom w:val="0"/>
      <w:divBdr>
        <w:top w:val="none" w:sz="0" w:space="0" w:color="auto"/>
        <w:left w:val="none" w:sz="0" w:space="0" w:color="auto"/>
        <w:bottom w:val="none" w:sz="0" w:space="0" w:color="auto"/>
        <w:right w:val="none" w:sz="0" w:space="0" w:color="auto"/>
      </w:divBdr>
    </w:div>
    <w:div w:id="1945529591">
      <w:bodyDiv w:val="1"/>
      <w:marLeft w:val="0"/>
      <w:marRight w:val="0"/>
      <w:marTop w:val="0"/>
      <w:marBottom w:val="0"/>
      <w:divBdr>
        <w:top w:val="none" w:sz="0" w:space="0" w:color="auto"/>
        <w:left w:val="none" w:sz="0" w:space="0" w:color="auto"/>
        <w:bottom w:val="none" w:sz="0" w:space="0" w:color="auto"/>
        <w:right w:val="none" w:sz="0" w:space="0" w:color="auto"/>
      </w:divBdr>
    </w:div>
    <w:div w:id="199579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D7F6-EF66-4A98-BA36-8FB7696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Lawrie</dc:creator>
  <cp:keywords/>
  <dc:description/>
  <cp:lastModifiedBy>Ramia Alawa</cp:lastModifiedBy>
  <cp:revision>7</cp:revision>
  <dcterms:created xsi:type="dcterms:W3CDTF">2025-09-16T15:40:00Z</dcterms:created>
  <dcterms:modified xsi:type="dcterms:W3CDTF">2025-11-11T14:42:00Z</dcterms:modified>
</cp:coreProperties>
</file>