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2560"/>
        <w:gridCol w:w="2560"/>
        <w:gridCol w:w="2590"/>
        <w:gridCol w:w="2545"/>
        <w:gridCol w:w="2560"/>
        <w:gridCol w:w="2561"/>
      </w:tblGrid>
      <w:tr w:rsidRPr="00643B27" w:rsidR="5874B52F" w:rsidTr="75CA67E5" w14:paraId="521A62FF" w14:textId="77777777">
        <w:trPr>
          <w:trHeight w:val="300"/>
        </w:trPr>
        <w:tc>
          <w:tcPr>
            <w:tcW w:w="15376" w:type="dxa"/>
            <w:gridSpan w:val="6"/>
            <w:tcMar>
              <w:left w:w="105" w:type="dxa"/>
              <w:right w:w="105" w:type="dxa"/>
            </w:tcMar>
            <w:vAlign w:val="center"/>
          </w:tcPr>
          <w:p w:rsidRPr="00643B27" w:rsidR="5874B52F" w:rsidP="5874B52F" w:rsidRDefault="5874B52F" w14:paraId="63E4108D" w14:textId="4A42BC60">
            <w:pPr>
              <w:tabs>
                <w:tab w:val="left" w:pos="2520"/>
              </w:tabs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b/>
                <w:bCs/>
                <w:color w:val="000000" w:themeColor="text1"/>
                <w:sz w:val="20"/>
                <w:szCs w:val="20"/>
              </w:rPr>
              <w:t xml:space="preserve">Education Directorate Improvement Plan: </w:t>
            </w:r>
            <w:r w:rsidRPr="00643B27">
              <w:rPr>
                <w:rFonts w:ascii="Calibri" w:hAnsi="Calibri" w:eastAsia="Arial" w:cs="Calibri"/>
                <w:color w:val="000000" w:themeColor="text1"/>
                <w:sz w:val="20"/>
                <w:szCs w:val="20"/>
              </w:rPr>
              <w:t xml:space="preserve"> </w:t>
            </w: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Equality &amp; Equity/</w:t>
            </w:r>
            <w:r w:rsidRPr="005B29F2">
              <w:rPr>
                <w:rFonts w:ascii="Calibri" w:hAnsi="Calibri" w:eastAsia="Arial" w:cs="Calibri"/>
                <w:b/>
                <w:color w:val="000000" w:themeColor="text1"/>
                <w:sz w:val="22"/>
                <w:szCs w:val="22"/>
              </w:rPr>
              <w:t>Achievement/Health &amp; Wellbeing</w:t>
            </w: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/Positive Destinations/Attendance &amp; Engagement</w:t>
            </w:r>
          </w:p>
        </w:tc>
      </w:tr>
      <w:tr w:rsidRPr="00643B27" w:rsidR="5874B52F" w:rsidTr="75CA67E5" w14:paraId="43B43BE0" w14:textId="77777777">
        <w:trPr>
          <w:trHeight w:val="300"/>
        </w:trPr>
        <w:tc>
          <w:tcPr>
            <w:tcW w:w="15376" w:type="dxa"/>
            <w:gridSpan w:val="6"/>
            <w:tcMar>
              <w:left w:w="105" w:type="dxa"/>
              <w:right w:w="105" w:type="dxa"/>
            </w:tcMar>
            <w:vAlign w:val="center"/>
          </w:tcPr>
          <w:p w:rsidRPr="00643B27" w:rsidR="5874B52F" w:rsidP="66B63090" w:rsidRDefault="5874B52F" w14:paraId="76763CC6" w14:textId="74E43B04">
            <w:pPr>
              <w:tabs>
                <w:tab w:val="left" w:pos="2520"/>
              </w:tabs>
              <w:spacing w:line="259" w:lineRule="auto"/>
              <w:rPr>
                <w:rFonts w:ascii="Calibri" w:hAnsi="Calibri" w:eastAsia="Arial" w:cs="Calibri"/>
                <w:b/>
                <w:bCs/>
                <w:color w:val="000000" w:themeColor="text1"/>
              </w:rPr>
            </w:pPr>
            <w:r w:rsidRPr="00643B27">
              <w:rPr>
                <w:rFonts w:ascii="Calibri" w:hAnsi="Calibri" w:eastAsia="Arial" w:cs="Calibri"/>
                <w:b/>
                <w:bCs/>
                <w:color w:val="000000" w:themeColor="text1"/>
              </w:rPr>
              <w:t xml:space="preserve">Focused Priority 1:   To develop an effective and consistent approach to relationships across the whole school community which will promote positive interactions and behaviours. All stakeholders will </w:t>
            </w:r>
            <w:r w:rsidRPr="00643B27" w:rsidR="43808FD3">
              <w:rPr>
                <w:rFonts w:ascii="Calibri" w:hAnsi="Calibri" w:eastAsia="Arial" w:cs="Calibri"/>
                <w:b/>
                <w:bCs/>
                <w:color w:val="000000" w:themeColor="text1"/>
              </w:rPr>
              <w:t xml:space="preserve">be actively engaged in embedding </w:t>
            </w:r>
            <w:r w:rsidRPr="00643B27">
              <w:rPr>
                <w:rFonts w:ascii="Calibri" w:hAnsi="Calibri" w:eastAsia="Arial" w:cs="Calibri"/>
                <w:b/>
                <w:bCs/>
                <w:color w:val="000000" w:themeColor="text1"/>
              </w:rPr>
              <w:t>the relationships policy which outline</w:t>
            </w:r>
            <w:r w:rsidRPr="00643B27" w:rsidR="6FAFDDD8">
              <w:rPr>
                <w:rFonts w:ascii="Calibri" w:hAnsi="Calibri" w:eastAsia="Arial" w:cs="Calibri"/>
                <w:b/>
                <w:bCs/>
                <w:color w:val="000000" w:themeColor="text1"/>
              </w:rPr>
              <w:t>s</w:t>
            </w:r>
            <w:r w:rsidRPr="00643B27">
              <w:rPr>
                <w:rFonts w:ascii="Calibri" w:hAnsi="Calibri" w:eastAsia="Arial" w:cs="Calibri"/>
                <w:b/>
                <w:bCs/>
                <w:color w:val="000000" w:themeColor="text1"/>
              </w:rPr>
              <w:t xml:space="preserve"> the </w:t>
            </w:r>
            <w:r w:rsidRPr="00643B27" w:rsidR="27857E82">
              <w:rPr>
                <w:rFonts w:ascii="Calibri" w:hAnsi="Calibri" w:eastAsia="Arial" w:cs="Calibri"/>
                <w:b/>
                <w:bCs/>
                <w:color w:val="000000" w:themeColor="text1"/>
              </w:rPr>
              <w:t>V</w:t>
            </w:r>
            <w:r w:rsidRPr="00643B27">
              <w:rPr>
                <w:rFonts w:ascii="Calibri" w:hAnsi="Calibri" w:eastAsia="Arial" w:cs="Calibri"/>
                <w:b/>
                <w:bCs/>
                <w:color w:val="000000" w:themeColor="text1"/>
              </w:rPr>
              <w:t xml:space="preserve">ision, </w:t>
            </w:r>
            <w:r w:rsidRPr="00643B27" w:rsidR="12110F5B">
              <w:rPr>
                <w:rFonts w:ascii="Calibri" w:hAnsi="Calibri" w:eastAsia="Arial" w:cs="Calibri"/>
                <w:b/>
                <w:bCs/>
                <w:color w:val="000000" w:themeColor="text1"/>
              </w:rPr>
              <w:t>V</w:t>
            </w:r>
            <w:r w:rsidRPr="00643B27">
              <w:rPr>
                <w:rFonts w:ascii="Calibri" w:hAnsi="Calibri" w:eastAsia="Arial" w:cs="Calibri"/>
                <w:b/>
                <w:bCs/>
                <w:color w:val="000000" w:themeColor="text1"/>
              </w:rPr>
              <w:t xml:space="preserve">alues and </w:t>
            </w:r>
            <w:r w:rsidRPr="00643B27" w:rsidR="385BA739">
              <w:rPr>
                <w:rFonts w:ascii="Calibri" w:hAnsi="Calibri" w:eastAsia="Arial" w:cs="Calibri"/>
                <w:b/>
                <w:bCs/>
                <w:color w:val="000000" w:themeColor="text1"/>
              </w:rPr>
              <w:t>A</w:t>
            </w:r>
            <w:r w:rsidRPr="00643B27">
              <w:rPr>
                <w:rFonts w:ascii="Calibri" w:hAnsi="Calibri" w:eastAsia="Arial" w:cs="Calibri"/>
                <w:b/>
                <w:bCs/>
                <w:color w:val="000000" w:themeColor="text1"/>
              </w:rPr>
              <w:t xml:space="preserve">ims of our school. </w:t>
            </w:r>
          </w:p>
        </w:tc>
      </w:tr>
      <w:tr w:rsidRPr="00643B27" w:rsidR="5874B52F" w:rsidTr="75CA67E5" w14:paraId="09340232" w14:textId="77777777">
        <w:trPr>
          <w:trHeight w:val="300"/>
        </w:trPr>
        <w:tc>
          <w:tcPr>
            <w:tcW w:w="7710" w:type="dxa"/>
            <w:gridSpan w:val="3"/>
            <w:tcMar>
              <w:left w:w="105" w:type="dxa"/>
              <w:right w:w="105" w:type="dxa"/>
            </w:tcMar>
            <w:vAlign w:val="center"/>
          </w:tcPr>
          <w:p w:rsidRPr="00643B27" w:rsidR="5874B52F" w:rsidP="5874B52F" w:rsidRDefault="5874B52F" w14:paraId="4239B633" w14:textId="47A80527">
            <w:pPr>
              <w:tabs>
                <w:tab w:val="left" w:pos="2520"/>
              </w:tabs>
              <w:spacing w:line="259" w:lineRule="auto"/>
              <w:rPr>
                <w:rFonts w:ascii="Calibri" w:hAnsi="Calibri" w:eastAsia="Arial" w:cs="Calibri"/>
                <w:color w:val="000000" w:themeColor="text1"/>
                <w:sz w:val="20"/>
                <w:szCs w:val="20"/>
              </w:rPr>
            </w:pPr>
            <w:r w:rsidRPr="00643B27">
              <w:rPr>
                <w:rFonts w:ascii="Calibri" w:hAnsi="Calibri" w:eastAsia="Arial" w:cs="Calibri"/>
                <w:b/>
                <w:bCs/>
                <w:color w:val="000000" w:themeColor="text1"/>
                <w:sz w:val="20"/>
                <w:szCs w:val="20"/>
              </w:rPr>
              <w:t>HGIOS4 Quality Indicators</w:t>
            </w:r>
          </w:p>
        </w:tc>
        <w:tc>
          <w:tcPr>
            <w:tcW w:w="7666" w:type="dxa"/>
            <w:gridSpan w:val="3"/>
            <w:tcMar>
              <w:left w:w="105" w:type="dxa"/>
              <w:right w:w="105" w:type="dxa"/>
            </w:tcMar>
            <w:vAlign w:val="center"/>
          </w:tcPr>
          <w:p w:rsidRPr="00643B27" w:rsidR="5874B52F" w:rsidP="5874B52F" w:rsidRDefault="5874B52F" w14:paraId="2A8072D3" w14:textId="05228EBD">
            <w:pPr>
              <w:tabs>
                <w:tab w:val="left" w:pos="2520"/>
              </w:tabs>
              <w:spacing w:line="259" w:lineRule="auto"/>
              <w:rPr>
                <w:rFonts w:ascii="Calibri" w:hAnsi="Calibri" w:eastAsia="Arial" w:cs="Calibri"/>
                <w:color w:val="000000" w:themeColor="text1"/>
                <w:sz w:val="20"/>
                <w:szCs w:val="20"/>
              </w:rPr>
            </w:pPr>
            <w:r w:rsidRPr="00643B27">
              <w:rPr>
                <w:rFonts w:ascii="Calibri" w:hAnsi="Calibri" w:eastAsia="Arial" w:cs="Calibri"/>
                <w:b/>
                <w:bCs/>
                <w:color w:val="000000" w:themeColor="text1"/>
                <w:sz w:val="20"/>
                <w:szCs w:val="20"/>
              </w:rPr>
              <w:t>HGIOELC Quality Indicators</w:t>
            </w:r>
          </w:p>
        </w:tc>
      </w:tr>
      <w:tr w:rsidRPr="00643B27" w:rsidR="5874B52F" w:rsidTr="75CA67E5" w14:paraId="7F91136A" w14:textId="77777777">
        <w:trPr>
          <w:trHeight w:val="300"/>
        </w:trPr>
        <w:tc>
          <w:tcPr>
            <w:tcW w:w="7710" w:type="dxa"/>
            <w:gridSpan w:val="3"/>
            <w:tcMar>
              <w:left w:w="105" w:type="dxa"/>
              <w:right w:w="105" w:type="dxa"/>
            </w:tcMar>
            <w:vAlign w:val="center"/>
          </w:tcPr>
          <w:p w:rsidRPr="00643B27" w:rsidR="5874B52F" w:rsidP="5874B52F" w:rsidRDefault="5874B52F" w14:paraId="75041C87" w14:textId="68CB8FCA">
            <w:pPr>
              <w:tabs>
                <w:tab w:val="left" w:pos="2520"/>
              </w:tabs>
              <w:spacing w:line="25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1.3 Leadership of Change</w:t>
            </w:r>
          </w:p>
          <w:p w:rsidRPr="00643B27" w:rsidR="5874B52F" w:rsidP="5874B52F" w:rsidRDefault="5874B52F" w14:paraId="04A7FD7D" w14:textId="0E3FEEF5">
            <w:pPr>
              <w:tabs>
                <w:tab w:val="left" w:pos="2520"/>
              </w:tabs>
              <w:spacing w:line="25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2.4 Personalised support</w:t>
            </w:r>
          </w:p>
          <w:p w:rsidRPr="00643B27" w:rsidR="5874B52F" w:rsidP="5874B52F" w:rsidRDefault="5874B52F" w14:paraId="7C7450BF" w14:textId="2B5EDC24">
            <w:pPr>
              <w:tabs>
                <w:tab w:val="left" w:pos="2520"/>
              </w:tabs>
              <w:spacing w:line="25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3.1 Ensuring wellbeing, equality and inclusion</w:t>
            </w:r>
          </w:p>
        </w:tc>
        <w:tc>
          <w:tcPr>
            <w:tcW w:w="7666" w:type="dxa"/>
            <w:gridSpan w:val="3"/>
            <w:tcMar>
              <w:left w:w="105" w:type="dxa"/>
              <w:right w:w="105" w:type="dxa"/>
            </w:tcMar>
            <w:vAlign w:val="center"/>
          </w:tcPr>
          <w:p w:rsidRPr="00643B27" w:rsidR="5874B52F" w:rsidP="5874B52F" w:rsidRDefault="5874B52F" w14:paraId="16131719" w14:textId="780E1579">
            <w:pPr>
              <w:tabs>
                <w:tab w:val="left" w:pos="2520"/>
              </w:tabs>
              <w:spacing w:line="259" w:lineRule="auto"/>
              <w:rPr>
                <w:rFonts w:ascii="Calibri" w:hAnsi="Calibri" w:eastAsia="Arial" w:cs="Calibri"/>
                <w:color w:val="000000" w:themeColor="text1"/>
                <w:sz w:val="20"/>
                <w:szCs w:val="20"/>
              </w:rPr>
            </w:pPr>
          </w:p>
        </w:tc>
      </w:tr>
      <w:tr w:rsidRPr="00643B27" w:rsidR="5874B52F" w:rsidTr="75CA67E5" w14:paraId="0FD051F3" w14:textId="77777777">
        <w:trPr>
          <w:trHeight w:val="300"/>
        </w:trPr>
        <w:tc>
          <w:tcPr>
            <w:tcW w:w="2560" w:type="dxa"/>
            <w:tcMar>
              <w:left w:w="105" w:type="dxa"/>
              <w:right w:w="105" w:type="dxa"/>
            </w:tcMar>
            <w:vAlign w:val="center"/>
          </w:tcPr>
          <w:p w:rsidRPr="00643B27" w:rsidR="5874B52F" w:rsidP="5874B52F" w:rsidRDefault="5874B52F" w14:paraId="10EBADD8" w14:textId="50933FBD">
            <w:pPr>
              <w:spacing w:line="259" w:lineRule="auto"/>
              <w:jc w:val="center"/>
              <w:rPr>
                <w:rFonts w:ascii="Calibri" w:hAnsi="Calibri" w:eastAsia="Arial" w:cs="Calibri"/>
                <w:color w:val="000000" w:themeColor="text1"/>
              </w:rPr>
            </w:pPr>
            <w:r w:rsidRPr="00643B27">
              <w:rPr>
                <w:rFonts w:ascii="Calibri" w:hAnsi="Calibri" w:eastAsia="Arial" w:cs="Calibri"/>
                <w:b/>
                <w:bCs/>
                <w:color w:val="000000" w:themeColor="text1"/>
              </w:rPr>
              <w:t>Expected Impact</w:t>
            </w:r>
          </w:p>
        </w:tc>
        <w:tc>
          <w:tcPr>
            <w:tcW w:w="2560" w:type="dxa"/>
            <w:tcMar>
              <w:left w:w="105" w:type="dxa"/>
              <w:right w:w="105" w:type="dxa"/>
            </w:tcMar>
            <w:vAlign w:val="center"/>
          </w:tcPr>
          <w:p w:rsidRPr="00643B27" w:rsidR="5874B52F" w:rsidP="5874B52F" w:rsidRDefault="5874B52F" w14:paraId="67E8E649" w14:textId="2D90530C">
            <w:pPr>
              <w:spacing w:line="259" w:lineRule="auto"/>
              <w:jc w:val="center"/>
              <w:rPr>
                <w:rFonts w:ascii="Calibri" w:hAnsi="Calibri" w:eastAsia="Arial" w:cs="Calibri"/>
                <w:color w:val="000000" w:themeColor="text1"/>
              </w:rPr>
            </w:pPr>
            <w:r w:rsidRPr="00643B27">
              <w:rPr>
                <w:rFonts w:ascii="Calibri" w:hAnsi="Calibri" w:eastAsia="Arial" w:cs="Calibri"/>
                <w:b/>
                <w:bCs/>
                <w:color w:val="000000" w:themeColor="text1"/>
              </w:rPr>
              <w:t>Strategic Actions Planned</w:t>
            </w:r>
          </w:p>
        </w:tc>
        <w:tc>
          <w:tcPr>
            <w:tcW w:w="5135" w:type="dxa"/>
            <w:gridSpan w:val="2"/>
            <w:tcMar>
              <w:left w:w="105" w:type="dxa"/>
              <w:right w:w="105" w:type="dxa"/>
            </w:tcMar>
            <w:vAlign w:val="center"/>
          </w:tcPr>
          <w:p w:rsidRPr="00643B27" w:rsidR="5874B52F" w:rsidP="5874B52F" w:rsidRDefault="5874B52F" w14:paraId="75E64553" w14:textId="75584CF3">
            <w:pPr>
              <w:spacing w:line="259" w:lineRule="auto"/>
              <w:jc w:val="center"/>
              <w:rPr>
                <w:rFonts w:ascii="Calibri" w:hAnsi="Calibri" w:eastAsia="Arial" w:cs="Calibri"/>
                <w:color w:val="000000" w:themeColor="text1"/>
              </w:rPr>
            </w:pPr>
            <w:r w:rsidRPr="00643B27">
              <w:rPr>
                <w:rFonts w:ascii="Calibri" w:hAnsi="Calibri" w:eastAsia="Arial" w:cs="Calibri"/>
                <w:b/>
                <w:bCs/>
                <w:color w:val="000000" w:themeColor="text1"/>
              </w:rPr>
              <w:t>Responsibili</w:t>
            </w:r>
            <w:bookmarkStart w:name="_GoBack" w:id="0"/>
            <w:bookmarkEnd w:id="0"/>
            <w:r w:rsidRPr="00643B27">
              <w:rPr>
                <w:rFonts w:ascii="Calibri" w:hAnsi="Calibri" w:eastAsia="Arial" w:cs="Calibri"/>
                <w:b/>
                <w:bCs/>
                <w:color w:val="000000" w:themeColor="text1"/>
              </w:rPr>
              <w:t>ties</w:t>
            </w:r>
          </w:p>
        </w:tc>
        <w:tc>
          <w:tcPr>
            <w:tcW w:w="2560" w:type="dxa"/>
            <w:tcMar>
              <w:left w:w="105" w:type="dxa"/>
              <w:right w:w="105" w:type="dxa"/>
            </w:tcMar>
            <w:vAlign w:val="center"/>
          </w:tcPr>
          <w:p w:rsidRPr="00643B27" w:rsidR="5874B52F" w:rsidP="5874B52F" w:rsidRDefault="5874B52F" w14:paraId="60DAFB13" w14:textId="713435EA">
            <w:pPr>
              <w:spacing w:line="259" w:lineRule="auto"/>
              <w:jc w:val="center"/>
              <w:rPr>
                <w:rFonts w:ascii="Calibri" w:hAnsi="Calibri" w:eastAsia="Arial" w:cs="Calibri"/>
                <w:color w:val="000000" w:themeColor="text1"/>
              </w:rPr>
            </w:pPr>
            <w:r w:rsidRPr="00643B27">
              <w:rPr>
                <w:rFonts w:ascii="Calibri" w:hAnsi="Calibri" w:eastAsia="Arial" w:cs="Calibri"/>
                <w:b/>
                <w:bCs/>
                <w:color w:val="000000" w:themeColor="text1"/>
              </w:rPr>
              <w:t>Measure of Success</w:t>
            </w:r>
          </w:p>
          <w:p w:rsidRPr="00643B27" w:rsidR="5874B52F" w:rsidP="5874B52F" w:rsidRDefault="5874B52F" w14:paraId="7E7BECDD" w14:textId="1E675DC1">
            <w:pPr>
              <w:spacing w:line="259" w:lineRule="auto"/>
              <w:jc w:val="center"/>
              <w:rPr>
                <w:rFonts w:ascii="Calibri" w:hAnsi="Calibri" w:eastAsia="Arial" w:cs="Calibri"/>
                <w:color w:val="000000" w:themeColor="text1"/>
                <w:sz w:val="20"/>
                <w:szCs w:val="20"/>
              </w:rPr>
            </w:pPr>
            <w:r w:rsidRPr="00643B27">
              <w:rPr>
                <w:rFonts w:ascii="Calibri" w:hAnsi="Calibri" w:eastAsia="Arial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(Triangulation of Evidence/QI Methodology)</w:t>
            </w:r>
          </w:p>
        </w:tc>
        <w:tc>
          <w:tcPr>
            <w:tcW w:w="2561" w:type="dxa"/>
            <w:tcMar>
              <w:left w:w="105" w:type="dxa"/>
              <w:right w:w="105" w:type="dxa"/>
            </w:tcMar>
            <w:vAlign w:val="center"/>
          </w:tcPr>
          <w:p w:rsidRPr="00643B27" w:rsidR="5874B52F" w:rsidP="5874B52F" w:rsidRDefault="5874B52F" w14:paraId="42608B71" w14:textId="57FE39ED">
            <w:pPr>
              <w:spacing w:line="259" w:lineRule="auto"/>
              <w:jc w:val="center"/>
              <w:rPr>
                <w:rFonts w:ascii="Calibri" w:hAnsi="Calibri" w:eastAsia="Arial" w:cs="Calibri"/>
                <w:color w:val="000000" w:themeColor="text1"/>
              </w:rPr>
            </w:pPr>
            <w:r w:rsidRPr="00643B27">
              <w:rPr>
                <w:rFonts w:ascii="Calibri" w:hAnsi="Calibri" w:eastAsia="Arial" w:cs="Calibri"/>
                <w:b/>
                <w:bCs/>
                <w:color w:val="000000" w:themeColor="text1"/>
              </w:rPr>
              <w:t>Timescales</w:t>
            </w:r>
          </w:p>
        </w:tc>
      </w:tr>
      <w:tr w:rsidRPr="00643B27" w:rsidR="5874B52F" w:rsidTr="75CA67E5" w14:paraId="4C7E2A78" w14:textId="77777777">
        <w:trPr>
          <w:trHeight w:val="300"/>
        </w:trPr>
        <w:tc>
          <w:tcPr>
            <w:tcW w:w="2560" w:type="dxa"/>
            <w:tcMar>
              <w:left w:w="105" w:type="dxa"/>
              <w:right w:w="105" w:type="dxa"/>
            </w:tcMar>
          </w:tcPr>
          <w:p w:rsidRPr="00643B27" w:rsidR="5874B52F" w:rsidP="5874B52F" w:rsidRDefault="5874B52F" w14:paraId="0A55F30E" w14:textId="7FBD1D39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Clear expectations of the approaches all stakeholders will take to foster positive relationships which reflect a nurturing and purposeful learning and teaching environment. This will impact on the achievement and attainment of all pupils at Leuchars Primary. </w:t>
            </w:r>
          </w:p>
          <w:p w:rsidRPr="00643B27" w:rsidR="5874B52F" w:rsidP="5874B52F" w:rsidRDefault="5874B52F" w14:paraId="7F7A0F68" w14:textId="36DE1EA8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616AD911" w14:textId="62B4B5F8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18A3451F" w14:textId="328CDB89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128CC80C" w14:textId="1577A88B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37744457" w14:textId="6810E7DD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7924219B" w14:textId="41C2E5A3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09B99C96" w14:textId="26AC6252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30D66288" w14:textId="4726705C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65D10537" w14:textId="130B3224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35EF6456" w14:textId="68804955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45B298BE" w14:textId="60CB8015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60" w:type="dxa"/>
            <w:tcMar>
              <w:left w:w="105" w:type="dxa"/>
              <w:right w:w="105" w:type="dxa"/>
            </w:tcMar>
          </w:tcPr>
          <w:p w:rsidRPr="00643B27" w:rsidR="5874B52F" w:rsidP="5874B52F" w:rsidRDefault="5874B52F" w14:paraId="05435AAA" w14:textId="7FB05413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Relationships, Behaviour and Wellbeing school audit and evaluation tools to be undertaken to establish shared understanding of current strengths and practices along with areas for development. </w:t>
            </w:r>
            <w:r w:rsidRPr="00643B27" w:rsidR="5B60DFF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These will be measured against the same audit completed last year to </w:t>
            </w:r>
            <w:r w:rsidRPr="00643B27" w:rsidR="66E5DDEB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compare responses and gauge any </w:t>
            </w:r>
            <w:r w:rsidRPr="00643B27" w:rsidR="1AEE5ADD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progress made. </w:t>
            </w:r>
            <w:r w:rsidRPr="00643B27" w:rsidR="003441AD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PEF plan linked to </w:t>
            </w:r>
            <w:r w:rsidRPr="00643B27" w:rsidR="008C4C28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improvement in </w:t>
            </w:r>
            <w:r w:rsidRPr="00643B27" w:rsidR="009E1445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Physical Environment. </w:t>
            </w:r>
          </w:p>
          <w:p w:rsidRPr="00643B27" w:rsidR="5874B52F" w:rsidP="5874B52F" w:rsidRDefault="5874B52F" w14:paraId="14D0BA81" w14:textId="6185B6AF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29130EF5" w14:textId="6F77559D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Teaching staff will engage with the CIRCLE framework to reflect on classroom design and ergonomics</w:t>
            </w:r>
            <w:r w:rsidRPr="00643B27" w:rsidR="17B3D143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 in November to allow for classroom layout and setup to have </w:t>
            </w:r>
            <w:r w:rsidRPr="00643B27" w:rsidR="17B3D143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lastRenderedPageBreak/>
              <w:t xml:space="preserve">been considered and adjustments made. </w:t>
            </w:r>
          </w:p>
          <w:p w:rsidRPr="00643B27" w:rsidR="5874B52F" w:rsidP="5874B52F" w:rsidRDefault="5874B52F" w14:paraId="59A7DC76" w14:textId="38E6871A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Use of the CICS to identify an area of change, along with CPS to focus on specific children. </w:t>
            </w:r>
          </w:p>
          <w:p w:rsidRPr="00643B27" w:rsidR="5874B52F" w:rsidP="5874B52F" w:rsidRDefault="5874B52F" w14:paraId="2E7B9EBF" w14:textId="211D71A8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135" w:type="dxa"/>
            <w:gridSpan w:val="2"/>
            <w:tcMar>
              <w:left w:w="105" w:type="dxa"/>
              <w:right w:w="105" w:type="dxa"/>
            </w:tcMar>
          </w:tcPr>
          <w:p w:rsidRPr="00643B27" w:rsidR="5874B52F" w:rsidP="5874B52F" w:rsidRDefault="5874B52F" w14:paraId="04CE12B4" w14:textId="1A486404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lastRenderedPageBreak/>
              <w:t xml:space="preserve">All pupils, staff and families to be made aware of the outstanding aspects of the checklist. </w:t>
            </w:r>
            <w:r w:rsidRPr="00643B27" w:rsidR="003656F6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Notably </w:t>
            </w:r>
            <w:r w:rsidRPr="00643B27" w:rsidR="005434EB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within </w:t>
            </w:r>
            <w:r w:rsidRPr="00643B27" w:rsidR="003656F6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the Physical Environment </w:t>
            </w:r>
            <w:r w:rsidRPr="00643B27" w:rsidR="00035B05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section.</w:t>
            </w:r>
          </w:p>
          <w:p w:rsidRPr="00643B27" w:rsidR="5874B52F" w:rsidP="5874B52F" w:rsidRDefault="5874B52F" w14:paraId="7DF89160" w14:textId="53BE8C30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3F85183B" w14:textId="5F8C37AF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48A26A9F" w14:textId="333FF2E6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72A5C304" w14:textId="5E54E6E3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56970FB5" w14:textId="64FD81FE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4EE982D7" w14:textId="018EFB91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Staff to complete audit tools and SLT to analyse data arising from this. </w:t>
            </w:r>
          </w:p>
          <w:p w:rsidRPr="00643B27" w:rsidR="5874B52F" w:rsidP="5874B52F" w:rsidRDefault="5874B52F" w14:paraId="434AC860" w14:textId="49CB625F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77C16488" w14:textId="2390CAEA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74803322" w14:textId="5425C361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006879FB" w:rsidP="5874B52F" w:rsidRDefault="006879FB" w14:paraId="513C504A" w14:textId="77777777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006879FB" w:rsidP="5874B52F" w:rsidRDefault="006879FB" w14:paraId="7E617C56" w14:textId="77777777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006879FB" w:rsidP="5874B52F" w:rsidRDefault="006879FB" w14:paraId="7F5F7BFC" w14:textId="77777777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006879FB" w:rsidP="5874B52F" w:rsidRDefault="006879FB" w14:paraId="4C91E7A2" w14:textId="77777777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1955F779" w14:textId="0D2481BD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All class teachers will undertake the CICS and CPS </w:t>
            </w:r>
          </w:p>
          <w:p w:rsidRPr="00643B27" w:rsidR="5874B52F" w:rsidP="5874B52F" w:rsidRDefault="5874B52F" w14:paraId="0AE09B17" w14:textId="45CDA08C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601AFC50" w14:textId="760B7631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57934BBA" w14:textId="08D3210B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4FE51495" w14:textId="50FD8122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4B696E9E" w14:textId="0E0CEEA0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60" w:type="dxa"/>
            <w:tcMar>
              <w:left w:w="105" w:type="dxa"/>
              <w:right w:w="105" w:type="dxa"/>
            </w:tcMar>
          </w:tcPr>
          <w:p w:rsidRPr="00643B27" w:rsidR="5874B52F" w:rsidP="5874B52F" w:rsidRDefault="5874B52F" w14:paraId="2D05C214" w14:textId="48F99D4A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Data collated from checklist will inform next steps in </w:t>
            </w:r>
            <w:r w:rsidRPr="00643B27" w:rsidR="6B82A1EB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Physical Environment</w:t>
            </w:r>
            <w:r w:rsidRPr="00643B27" w:rsidR="003441AD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 – linked to PEF plan</w:t>
            </w: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. </w:t>
            </w:r>
          </w:p>
          <w:p w:rsidRPr="00643B27" w:rsidR="5874B52F" w:rsidP="66B63090" w:rsidRDefault="5874B52F" w14:paraId="74AA7A2A" w14:textId="2EC2E6BB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009F6240" w:rsidP="5874B52F" w:rsidRDefault="009F6240" w14:paraId="4233A5E3" w14:textId="77777777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009F6240" w:rsidP="5874B52F" w:rsidRDefault="009F6240" w14:paraId="255CC16D" w14:textId="77777777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0588A2B2" w14:textId="526FC81C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Pupil voice will be captured through wellbeing webs and opinion polls. </w:t>
            </w:r>
          </w:p>
          <w:p w:rsidRPr="00643B27" w:rsidR="5874B52F" w:rsidP="66B63090" w:rsidRDefault="5874B52F" w14:paraId="3C74DE33" w14:textId="776295FE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5874B52F" w14:paraId="513E99E1" w14:textId="1B2781D7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 </w:t>
            </w:r>
          </w:p>
          <w:p w:rsidRPr="00643B27" w:rsidR="5874B52F" w:rsidP="66B63090" w:rsidRDefault="5874B52F" w14:paraId="029CE4FE" w14:textId="3BCBAC4F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5874B52F" w14:paraId="015D6273" w14:textId="37B34DDD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5874B52F" w14:paraId="39568A4D" w14:textId="1FF26C87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5348491E" w14:paraId="69848B21" w14:textId="110DE51A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Changes identified in physical environment will be captured in revisited CICS </w:t>
            </w:r>
            <w:r w:rsidRPr="00643B27" w:rsidR="34D3E071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at end of academic session. </w:t>
            </w:r>
          </w:p>
        </w:tc>
        <w:tc>
          <w:tcPr>
            <w:tcW w:w="2561" w:type="dxa"/>
            <w:tcMar>
              <w:left w:w="105" w:type="dxa"/>
              <w:right w:w="105" w:type="dxa"/>
            </w:tcMar>
          </w:tcPr>
          <w:p w:rsidRPr="00643B27" w:rsidR="5874B52F" w:rsidP="66B63090" w:rsidRDefault="5874B52F" w14:paraId="5E2A2005" w14:textId="1F0B04FE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Aug 202</w:t>
            </w:r>
            <w:r w:rsidRPr="00643B27" w:rsidR="5802B8EA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5</w:t>
            </w:r>
          </w:p>
          <w:p w:rsidRPr="00643B27" w:rsidR="5874B52F" w:rsidP="5874B52F" w:rsidRDefault="5874B52F" w14:paraId="2D5F889F" w14:textId="28C2BD11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(within WTA)</w:t>
            </w:r>
          </w:p>
          <w:p w:rsidRPr="00643B27" w:rsidR="5874B52F" w:rsidP="66B63090" w:rsidRDefault="5874B52F" w14:paraId="0839E95E" w14:textId="420CCE2B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5874B52F" w14:paraId="103B1932" w14:textId="11097733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5874B52F" w14:paraId="55C5C2B2" w14:textId="660EE088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009F6240" w:rsidP="66B63090" w:rsidRDefault="009F6240" w14:paraId="203A3020" w14:textId="77777777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009F6240" w:rsidP="66B63090" w:rsidRDefault="009F6240" w14:paraId="1E3CF4E9" w14:textId="77777777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009F6240" w:rsidP="66B63090" w:rsidRDefault="009F6240" w14:paraId="58F9581A" w14:textId="77777777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377A36F5" w14:paraId="773B09DF" w14:textId="238C5082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Sep 2025</w:t>
            </w:r>
          </w:p>
          <w:p w:rsidRPr="00643B27" w:rsidR="377A36F5" w:rsidP="66B63090" w:rsidRDefault="377A36F5" w14:paraId="2C0CB63D" w14:textId="37C32D0D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May 202</w:t>
            </w:r>
            <w:r w:rsidRPr="00643B27" w:rsidR="28875E2B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6</w:t>
            </w:r>
          </w:p>
          <w:p w:rsidRPr="00643B27" w:rsidR="5874B52F" w:rsidP="66B63090" w:rsidRDefault="5874B52F" w14:paraId="4833A387" w14:textId="12CFF690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5874B52F" w14:paraId="08E3EAF4" w14:textId="0480C0F4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5874B52F" w14:paraId="524A5083" w14:textId="625BF6A2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5874B52F" w14:paraId="7C1A4570" w14:textId="67261A23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5874B52F" w14:paraId="3D8F80F8" w14:textId="695A016A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009F6240" w:rsidP="66B63090" w:rsidRDefault="009F6240" w14:paraId="59C71132" w14:textId="77777777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009F6240" w:rsidP="66B63090" w:rsidRDefault="009F6240" w14:paraId="1D346830" w14:textId="77777777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0C89F8FE" w14:paraId="0E1B2F54" w14:textId="44EB9809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November 2025</w:t>
            </w:r>
          </w:p>
          <w:p w:rsidRPr="00643B27" w:rsidR="5874B52F" w:rsidP="66B63090" w:rsidRDefault="5874B52F" w14:paraId="05C07967" w14:textId="6E4C7364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0C89F8FE" w14:paraId="1351AE0B" w14:textId="33DFD579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May 2026</w:t>
            </w:r>
          </w:p>
        </w:tc>
      </w:tr>
      <w:tr w:rsidRPr="00643B27" w:rsidR="5874B52F" w:rsidTr="75CA67E5" w14:paraId="041CA790" w14:textId="77777777">
        <w:trPr>
          <w:trHeight w:val="300"/>
        </w:trPr>
        <w:tc>
          <w:tcPr>
            <w:tcW w:w="2560" w:type="dxa"/>
            <w:tcMar>
              <w:left w:w="105" w:type="dxa"/>
              <w:right w:w="105" w:type="dxa"/>
            </w:tcMar>
          </w:tcPr>
          <w:p w:rsidRPr="00643B27" w:rsidR="5874B52F" w:rsidP="5874B52F" w:rsidRDefault="5874B52F" w14:paraId="27F7AAEE" w14:textId="77C3B7A2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Behaviours and interactions will reflect a mutual respect at all levels for all stakeholders, with specific reference to the collaboratively agreed Relationships and Behaviour Policy. </w:t>
            </w:r>
          </w:p>
          <w:p w:rsidRPr="00643B27" w:rsidR="5874B52F" w:rsidP="5874B52F" w:rsidRDefault="5874B52F" w14:paraId="1C8435D9" w14:textId="1855B858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37DD9CD6" w14:textId="3AF4EF8E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6A03E692" w14:textId="48BACEE7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0328B4DF" w14:textId="513E0C47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5DB4EAEC" w14:textId="76C98C9B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76D03D6F" w14:textId="408A7AF4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60" w:type="dxa"/>
            <w:tcMar>
              <w:left w:w="105" w:type="dxa"/>
              <w:right w:w="105" w:type="dxa"/>
            </w:tcMar>
          </w:tcPr>
          <w:p w:rsidRPr="00643B27" w:rsidR="5874B52F" w:rsidP="66B63090" w:rsidRDefault="5874B52F" w14:paraId="51843331" w14:textId="289F1C5A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Pupil Leadership Group to be created to promote pupil voice input to</w:t>
            </w:r>
            <w:r w:rsidRPr="00643B27" w:rsidR="399BAD0A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 embedding</w:t>
            </w: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 relationships policy. </w:t>
            </w:r>
          </w:p>
          <w:p w:rsidRPr="00643B27" w:rsidR="5874B52F" w:rsidP="5874B52F" w:rsidRDefault="5874B52F" w14:paraId="5F3EA0B6" w14:textId="6465090D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Visual reminders and scripting procedures in place to ensure consistency of messages across all aspects of the school and nursery.</w:t>
            </w:r>
          </w:p>
          <w:p w:rsidRPr="00643B27" w:rsidR="5874B52F" w:rsidP="66B63090" w:rsidRDefault="5874B52F" w14:paraId="497BDC86" w14:textId="25D16182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Allocated </w:t>
            </w:r>
            <w:r w:rsidRPr="00643B27" w:rsidR="6AAB3B96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collegiate activity </w:t>
            </w: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time utilised to include families in decision making around policy </w:t>
            </w:r>
            <w:r w:rsidRPr="00643B27" w:rsidR="51F4AFEB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implementation</w:t>
            </w: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. </w:t>
            </w:r>
          </w:p>
          <w:p w:rsidRPr="00643B27" w:rsidR="5874B52F" w:rsidP="5874B52F" w:rsidRDefault="5874B52F" w14:paraId="10F78ADE" w14:textId="2F5BC19E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Staff meeting time used to agree expectations and knowledge and understanding of restorative approaches.</w:t>
            </w:r>
          </w:p>
        </w:tc>
        <w:tc>
          <w:tcPr>
            <w:tcW w:w="5135" w:type="dxa"/>
            <w:gridSpan w:val="2"/>
            <w:tcMar>
              <w:left w:w="105" w:type="dxa"/>
              <w:right w:w="105" w:type="dxa"/>
            </w:tcMar>
          </w:tcPr>
          <w:p w:rsidRPr="00643B27" w:rsidR="5874B52F" w:rsidP="5874B52F" w:rsidRDefault="5874B52F" w14:paraId="2BBD08DF" w14:textId="71CBB4E0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SLT to oversee leadership groups.</w:t>
            </w:r>
          </w:p>
          <w:p w:rsidRPr="00643B27" w:rsidR="5874B52F" w:rsidP="5874B52F" w:rsidRDefault="5874B52F" w14:paraId="1323B380" w14:textId="10A3F107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All staff and pupils to be consulted and contribute to design of visuals </w:t>
            </w:r>
          </w:p>
          <w:p w:rsidRPr="00643B27" w:rsidR="5874B52F" w:rsidP="5874B52F" w:rsidRDefault="5874B52F" w14:paraId="1CFBE7F9" w14:textId="49408CB9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4082FFC5" w14:textId="4AC58347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505B5710" w14:textId="28D1BE67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511A9D72" w14:textId="3CDEB903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5874B52F" w14:paraId="4AD50E6C" w14:textId="3D4279F8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All staff to have a restorative approach when dealing with incidents.</w:t>
            </w:r>
          </w:p>
          <w:p w:rsidRPr="00643B27" w:rsidR="5874B52F" w:rsidP="66B63090" w:rsidRDefault="5874B52F" w14:paraId="6EA68F98" w14:textId="0AFA42F6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5874B52F" w14:paraId="090A3DF8" w14:textId="67553EB8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5874B52F" w14:paraId="7E58161B" w14:textId="403D4D66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5874B52F" w14:paraId="285350CD" w14:textId="63B4CCB8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5874B52F" w14:paraId="0A286BED" w14:textId="526D8F2E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5874B52F" w14:paraId="3EE3B3E7" w14:textId="741D3EF6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5874B52F" w14:paraId="79BCEBDB" w14:textId="7259597B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5874B52F" w14:paraId="61E7E864" w14:textId="3734D81A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5874B52F" w14:paraId="489DD7B5" w14:textId="35D32965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5874B52F" w14:paraId="42E7E7B8" w14:textId="22067EC8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5874B52F" w14:paraId="77221139" w14:textId="7166D6B9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5874B52F" w14:paraId="68983A3B" w14:textId="09FADAE9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5874B52F" w14:paraId="5345778E" w14:textId="6FA32F80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5874B52F" w14:paraId="43308009" w14:textId="5B510A55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21E8AFB1" w14:paraId="1AE32EF4" w14:textId="74587CCE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All staff included in collegiate activit</w:t>
            </w:r>
            <w:r w:rsidRPr="00643B27" w:rsidR="015C0C46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y time planned </w:t>
            </w: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with families to build community approaches a</w:t>
            </w:r>
            <w:r w:rsidRPr="00643B27" w:rsidR="0EA25AD6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nd sense of </w:t>
            </w:r>
            <w:r w:rsidRPr="00643B27" w:rsidR="19AAB095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joint efficacy.</w:t>
            </w:r>
            <w:r w:rsidRPr="00643B27" w:rsidR="5D335833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 </w:t>
            </w:r>
            <w:r w:rsidRPr="00643B27" w:rsidR="382A72C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T</w:t>
            </w:r>
            <w:r w:rsidRPr="00643B27" w:rsidR="5D335833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hrough </w:t>
            </w:r>
            <w:r w:rsidRPr="00643B27" w:rsidR="08BE8035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scrutiny of community involvement</w:t>
            </w:r>
            <w:r w:rsidRPr="00643B27" w:rsidR="46AC93DD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,</w:t>
            </w:r>
            <w:r w:rsidRPr="00643B27" w:rsidR="08BE8035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 school will be able to </w:t>
            </w:r>
            <w:r w:rsidRPr="00643B27" w:rsidR="0C4898F1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target</w:t>
            </w:r>
            <w:r w:rsidRPr="00643B27" w:rsidR="08BE8035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 approaches to</w:t>
            </w:r>
            <w:r w:rsidRPr="00643B27" w:rsidR="437701DA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 increase attendance</w:t>
            </w:r>
          </w:p>
        </w:tc>
        <w:tc>
          <w:tcPr>
            <w:tcW w:w="2560" w:type="dxa"/>
            <w:tcMar>
              <w:left w:w="105" w:type="dxa"/>
              <w:right w:w="105" w:type="dxa"/>
            </w:tcMar>
          </w:tcPr>
          <w:p w:rsidRPr="00643B27" w:rsidR="5874B52F" w:rsidP="5874B52F" w:rsidRDefault="5874B52F" w14:paraId="03307122" w14:textId="0602F8EA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Views of children and staff gathered at two different points throughout the session (Aug and June).</w:t>
            </w:r>
          </w:p>
          <w:p w:rsidRPr="00643B27" w:rsidR="5874B52F" w:rsidP="5874B52F" w:rsidRDefault="5874B52F" w14:paraId="6F70D219" w14:textId="4F578105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4B48947F" w14:textId="2B5B61A4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Keep a record of the following to provide quantitative data (i.e. is our approach working?)</w:t>
            </w:r>
          </w:p>
          <w:p w:rsidRPr="00643B27" w:rsidR="5874B52F" w:rsidP="5874B52F" w:rsidRDefault="5874B52F" w14:paraId="6B79ED59" w14:textId="22D4AEFE">
            <w:pPr>
              <w:pStyle w:val="ListParagraph"/>
              <w:numPr>
                <w:ilvl w:val="0"/>
                <w:numId w:val="7"/>
              </w:numPr>
              <w:spacing w:line="259" w:lineRule="auto"/>
              <w:ind w:left="325" w:hanging="283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Number of phone calls home relating to behaviour.</w:t>
            </w:r>
          </w:p>
          <w:p w:rsidRPr="00643B27" w:rsidR="5874B52F" w:rsidP="5874B52F" w:rsidRDefault="5874B52F" w14:paraId="443EC92D" w14:textId="6DD65F0A">
            <w:pPr>
              <w:pStyle w:val="ListParagraph"/>
              <w:numPr>
                <w:ilvl w:val="0"/>
                <w:numId w:val="7"/>
              </w:numPr>
              <w:spacing w:line="259" w:lineRule="auto"/>
              <w:ind w:left="325" w:hanging="249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Number of parent/carer meetings in relationship to behaviour.</w:t>
            </w:r>
          </w:p>
          <w:p w:rsidRPr="00643B27" w:rsidR="5874B52F" w:rsidP="5874B52F" w:rsidRDefault="5874B52F" w14:paraId="06E70470" w14:textId="2AED6965">
            <w:pPr>
              <w:pStyle w:val="ListParagraph"/>
              <w:numPr>
                <w:ilvl w:val="0"/>
                <w:numId w:val="7"/>
              </w:numPr>
              <w:spacing w:line="259" w:lineRule="auto"/>
              <w:ind w:left="325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Number of recorded incidents (</w:t>
            </w:r>
            <w:proofErr w:type="spellStart"/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Seemis</w:t>
            </w:r>
            <w:proofErr w:type="spellEnd"/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/First Contact).</w:t>
            </w:r>
          </w:p>
          <w:p w:rsidRPr="00643B27" w:rsidR="5874B52F" w:rsidP="66B63090" w:rsidRDefault="5874B52F" w14:paraId="0C4021B0" w14:textId="6092CEFB">
            <w:pPr>
              <w:spacing w:line="259" w:lineRule="auto"/>
              <w:ind w:left="-35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Comparison between HS1 forms submitted from session 2</w:t>
            </w:r>
            <w:r w:rsidRPr="00643B27" w:rsidR="7FF777E4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4/25</w:t>
            </w: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 session.</w:t>
            </w:r>
          </w:p>
          <w:p w:rsidRPr="00643B27" w:rsidR="5874B52F" w:rsidP="66B63090" w:rsidRDefault="5874B52F" w14:paraId="51576232" w14:textId="34395A96">
            <w:pPr>
              <w:spacing w:line="259" w:lineRule="auto"/>
              <w:ind w:left="-35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519B3A6F" w14:paraId="4719EB4C" w14:textId="1242EAA1">
            <w:pPr>
              <w:spacing w:line="259" w:lineRule="auto"/>
              <w:ind w:left="-35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Attendance at family events to be recorded </w:t>
            </w:r>
            <w:r w:rsidRPr="00643B27" w:rsidR="64A7F156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and analysed.</w:t>
            </w:r>
          </w:p>
        </w:tc>
        <w:tc>
          <w:tcPr>
            <w:tcW w:w="2561" w:type="dxa"/>
            <w:tcMar>
              <w:left w:w="105" w:type="dxa"/>
              <w:right w:w="105" w:type="dxa"/>
            </w:tcMar>
          </w:tcPr>
          <w:p w:rsidRPr="00643B27" w:rsidR="5874B52F" w:rsidP="66B63090" w:rsidRDefault="5874B52F" w14:paraId="0BCDD75F" w14:textId="383E6178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Aug 202</w:t>
            </w:r>
            <w:r w:rsidRPr="00643B27" w:rsidR="34767ADA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5</w:t>
            </w: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 and June 202</w:t>
            </w:r>
            <w:r w:rsidRPr="00643B27" w:rsidR="124642B5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6</w:t>
            </w: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.</w:t>
            </w:r>
          </w:p>
          <w:p w:rsidRPr="00643B27" w:rsidR="5874B52F" w:rsidP="5874B52F" w:rsidRDefault="5874B52F" w14:paraId="62128057" w14:textId="1B4C81A1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570334F2" w14:textId="0C35F5A4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6BDB587D" w14:textId="1523AFDB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1A22D47D" w14:textId="1CD70929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4ECEDA21" w14:textId="3F747D4F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165C8DF8" w14:textId="616A5013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5874B52F" w14:paraId="5EBA2ADE" w14:textId="757EA053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Ongoing with termly analysis.</w:t>
            </w:r>
          </w:p>
          <w:p w:rsidRPr="00643B27" w:rsidR="5874B52F" w:rsidP="66B63090" w:rsidRDefault="5874B52F" w14:paraId="6F72AD9B" w14:textId="072B1BD6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5874B52F" w14:paraId="594E86BF" w14:textId="2955662D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5874B52F" w14:paraId="4BEA2481" w14:textId="1CAC6845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5874B52F" w14:paraId="11535DE0" w14:textId="1A3A554A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5874B52F" w14:paraId="1FF9B44A" w14:textId="4FCB3A82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5874B52F" w14:paraId="0D4007AE" w14:textId="2FDB8FD5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5874B52F" w14:paraId="178A3B70" w14:textId="155621B3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5874B52F" w14:paraId="0CB11CA4" w14:textId="38CB43A4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5874B52F" w14:paraId="00D4D517" w14:textId="5580339B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5874B52F" w14:paraId="5F054C02" w14:textId="5FB70E8B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5874B52F" w14:paraId="3F76D347" w14:textId="313B0929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5874B52F" w14:paraId="5BE1C7FD" w14:textId="203C4FFB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5874B52F" w14:paraId="4CD476FF" w14:textId="310CF3BC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5874B52F" w14:paraId="62720413" w14:textId="29DF3B44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="00643B27" w:rsidP="66B63090" w:rsidRDefault="00643B27" w14:paraId="3A2C5540" w14:textId="77777777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="00643B27" w:rsidP="66B63090" w:rsidRDefault="00643B27" w14:paraId="1ACEFF8C" w14:textId="77777777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03B6E4C9" w14:paraId="3884C597" w14:textId="51CF5A7B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Throughout the year at events. </w:t>
            </w:r>
          </w:p>
        </w:tc>
      </w:tr>
      <w:tr w:rsidRPr="00643B27" w:rsidR="5874B52F" w:rsidTr="75CA67E5" w14:paraId="3B3CA1E7" w14:textId="77777777">
        <w:trPr>
          <w:trHeight w:val="300"/>
        </w:trPr>
        <w:tc>
          <w:tcPr>
            <w:tcW w:w="2560" w:type="dxa"/>
            <w:tcMar>
              <w:left w:w="105" w:type="dxa"/>
              <w:right w:w="105" w:type="dxa"/>
            </w:tcMar>
          </w:tcPr>
          <w:p w:rsidRPr="00643B27" w:rsidR="5874B52F" w:rsidP="5874B52F" w:rsidRDefault="5874B52F" w14:paraId="501E3F91" w14:textId="723F4C91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lastRenderedPageBreak/>
              <w:t>Attainment will increase for children who are Care Experienced and who have identified Additional Support Needs.</w:t>
            </w:r>
          </w:p>
          <w:p w:rsidRPr="00643B27" w:rsidR="5874B52F" w:rsidP="5874B52F" w:rsidRDefault="5874B52F" w14:paraId="0B3BD080" w14:textId="6A471C6A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60" w:type="dxa"/>
            <w:tcMar>
              <w:left w:w="105" w:type="dxa"/>
              <w:right w:w="105" w:type="dxa"/>
            </w:tcMar>
          </w:tcPr>
          <w:p w:rsidRPr="00643B27" w:rsidR="5874B52F" w:rsidP="66B63090" w:rsidRDefault="5874B52F" w14:paraId="4538D05D" w14:textId="051D0FFA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Collaborative working between our SfL teacher and SfL teachers from other schools </w:t>
            </w:r>
            <w:r w:rsidRPr="00643B27" w:rsidR="616186D4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to </w:t>
            </w: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develop practice</w:t>
            </w:r>
            <w:r w:rsidRPr="00643B27" w:rsidR="1A56C79D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 and support mechanisms</w:t>
            </w: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. </w:t>
            </w:r>
          </w:p>
          <w:p w:rsidRPr="00643B27" w:rsidR="5874B52F" w:rsidP="66B63090" w:rsidRDefault="5874B52F" w14:paraId="49DA661D" w14:textId="1C520164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5874B52F" w14:paraId="7EF198D5" w14:textId="4CF4C06E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Robust SfL systems of tracking and monitoring </w:t>
            </w:r>
            <w:r w:rsidRPr="00643B27" w:rsidR="0AA216D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now </w:t>
            </w: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in place</w:t>
            </w:r>
            <w:r w:rsidRPr="00643B27" w:rsidR="6DF473BB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 will increase the validity and impact of </w:t>
            </w: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plan</w:t>
            </w:r>
            <w:r w:rsidRPr="00643B27" w:rsidR="6AFEF5F9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ning which will </w:t>
            </w: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ensure progression. Continued development </w:t>
            </w:r>
            <w:r w:rsidRPr="00643B27" w:rsidR="135578A8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and understanding </w:t>
            </w: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of Support for Learning </w:t>
            </w:r>
            <w:r w:rsidRPr="00643B27" w:rsidR="5BDD8A9D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processes</w:t>
            </w: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.</w:t>
            </w:r>
          </w:p>
          <w:p w:rsidRPr="00643B27" w:rsidR="5874B52F" w:rsidP="66B63090" w:rsidRDefault="5874B52F" w14:paraId="16F0EDDB" w14:textId="64DAE43D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Support Staff working collaboratively with internal colleagues and colleagues from other schools to further their own professional development around CAMHS, de-escalation </w:t>
            </w:r>
            <w:r w:rsidRPr="00643B27" w:rsidR="68F121C0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and </w:t>
            </w: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resilience</w:t>
            </w:r>
            <w:r w:rsidRPr="00643B27" w:rsidR="0AC1BC98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.</w:t>
            </w:r>
          </w:p>
          <w:p w:rsidRPr="00643B27" w:rsidR="001C827F" w:rsidP="66B63090" w:rsidRDefault="001C827F" w14:paraId="0C0176CE" w14:textId="1CDE8D10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Additionality Teacher working with class teachers to ensure that Universal </w:t>
            </w:r>
            <w:r w:rsidRPr="00643B27" w:rsidR="06644440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Support</w:t>
            </w: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 in their </w:t>
            </w:r>
            <w:r w:rsidRPr="00643B27" w:rsidR="22BA5F1F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classroom</w:t>
            </w:r>
            <w:r w:rsidRPr="00643B27" w:rsidR="081FECB2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 is </w:t>
            </w:r>
            <w:r w:rsidRPr="00643B27" w:rsidR="1281A53B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appropriate</w:t>
            </w:r>
            <w:r w:rsidRPr="00643B27" w:rsidR="081FECB2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 and purposeful. </w:t>
            </w:r>
          </w:p>
          <w:p w:rsidRPr="00643B27" w:rsidR="5874B52F" w:rsidP="5874B52F" w:rsidRDefault="5874B52F" w14:paraId="52B4C5E7" w14:textId="6B1C2401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66B63090" w:rsidP="66B63090" w:rsidRDefault="66B63090" w14:paraId="734E5DD4" w14:textId="1532782B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5D7F8055" w14:textId="07DE7976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All staff to continue to work closely with EAL </w:t>
            </w: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lastRenderedPageBreak/>
              <w:t>support team to provide quality experiences to EAL learners.</w:t>
            </w:r>
          </w:p>
          <w:p w:rsidRPr="00643B27" w:rsidR="5874B52F" w:rsidP="5874B52F" w:rsidRDefault="5874B52F" w14:paraId="1B304715" w14:textId="5107E763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6754F3AF" w14:textId="0D052F1E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1246D4AD" w14:textId="62538BAD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78AC311E" w14:textId="771F19CB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5874B52F" w14:paraId="05855197" w14:textId="4F360819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135" w:type="dxa"/>
            <w:gridSpan w:val="2"/>
            <w:tcMar>
              <w:left w:w="105" w:type="dxa"/>
              <w:right w:w="105" w:type="dxa"/>
            </w:tcMar>
          </w:tcPr>
          <w:p w:rsidRPr="00643B27" w:rsidR="5874B52F" w:rsidP="5874B52F" w:rsidRDefault="5874B52F" w14:paraId="52E49F70" w14:textId="69D3DF11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lastRenderedPageBreak/>
              <w:t xml:space="preserve">SfL teacher </w:t>
            </w:r>
          </w:p>
          <w:p w:rsidRPr="00643B27" w:rsidR="5874B52F" w:rsidP="5874B52F" w:rsidRDefault="5874B52F" w14:paraId="4FB3BBEF" w14:textId="69E605EA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52238E81" w14:textId="6C756809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26C6040B" w14:textId="44452DD2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32201F96" w14:textId="658B4C07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66B63090" w:rsidP="66B63090" w:rsidRDefault="66B63090" w14:paraId="5C0794E4" w14:textId="32A7A953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66B63090" w:rsidP="66B63090" w:rsidRDefault="66B63090" w14:paraId="4BB8B3DB" w14:textId="4C96F3AD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5874B52F" w14:paraId="4E28C271" w14:textId="55727C03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Led by SLT</w:t>
            </w:r>
            <w:r w:rsidRPr="00643B27" w:rsidR="11748BD1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, SfL teacher and additionality teacher</w:t>
            </w:r>
          </w:p>
          <w:p w:rsidRPr="00643B27" w:rsidR="5874B52F" w:rsidP="5874B52F" w:rsidRDefault="5874B52F" w14:paraId="5BE52FD9" w14:textId="0F601965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PSA staff</w:t>
            </w:r>
          </w:p>
          <w:p w:rsidRPr="00643B27" w:rsidR="5874B52F" w:rsidP="5874B52F" w:rsidRDefault="5874B52F" w14:paraId="1DA69AEB" w14:textId="2CC4F8BD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70E6A285" w14:textId="2ED7DC20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7951F72B" w14:textId="5CC538EB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186E3AA1" w14:textId="7764FEA6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79D6D042" w14:textId="78C7D058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476D5CE7" w14:textId="0FF4DD41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5874B52F" w14:paraId="3AB97481" w14:textId="78C3F444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55590F0F" w14:textId="5DD5DA0E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683AAC31" w14:textId="65B59A8C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7F340EE0" w14:textId="545989C1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68125B51" w14:textId="23ACF307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451958D9" w14:textId="4BF7B935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66B63090" w:rsidP="66B63090" w:rsidRDefault="66B63090" w14:paraId="6E512BE8" w14:textId="0A40AA52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66B63090" w:rsidP="66B63090" w:rsidRDefault="66B63090" w14:paraId="4B147BD5" w14:textId="4D69C2DE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66B63090" w:rsidP="66B63090" w:rsidRDefault="66B63090" w14:paraId="54A0DD16" w14:textId="474D635B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66B63090" w:rsidP="66B63090" w:rsidRDefault="66B63090" w14:paraId="783AF66E" w14:textId="1B509822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66B63090" w:rsidP="66B63090" w:rsidRDefault="66B63090" w14:paraId="7A1764E1" w14:textId="5381FC81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66B63090" w:rsidP="66B63090" w:rsidRDefault="66B63090" w14:paraId="56CB98BD" w14:textId="3BC35AAA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66B63090" w:rsidP="66B63090" w:rsidRDefault="66B63090" w14:paraId="2609FE3F" w14:textId="5816D026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66B63090" w:rsidP="66B63090" w:rsidRDefault="66B63090" w14:paraId="09BD3540" w14:textId="3D9805AE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66B63090" w:rsidP="66B63090" w:rsidRDefault="66B63090" w14:paraId="5CDDFCB6" w14:textId="3B3DE1D5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66B63090" w:rsidP="66B63090" w:rsidRDefault="66B63090" w14:paraId="41B9FBCA" w14:textId="3101AE58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66B63090" w:rsidP="66B63090" w:rsidRDefault="66B63090" w14:paraId="1A91D8A2" w14:textId="05C99D60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="00643B27" w:rsidP="66B63090" w:rsidRDefault="00643B27" w14:paraId="4ED1C0CD" w14:textId="2BF270E1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00643B27" w:rsidP="66B63090" w:rsidRDefault="00643B27" w14:paraId="0EE1202A" w14:textId="77777777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="75CA67E5" w:rsidP="75CA67E5" w:rsidRDefault="75CA67E5" w14:paraId="3FE787E2" w14:textId="60883AE6">
            <w:pPr>
              <w:spacing w:line="259" w:lineRule="auto"/>
              <w:rPr>
                <w:rFonts w:ascii="Calibri" w:hAnsi="Calibri" w:eastAsia="Arial" w:cs="Calibri"/>
                <w:color w:val="000000" w:themeColor="text1" w:themeTint="FF" w:themeShade="FF"/>
                <w:sz w:val="22"/>
                <w:szCs w:val="22"/>
              </w:rPr>
            </w:pPr>
          </w:p>
          <w:p w:rsidR="75CA67E5" w:rsidP="75CA67E5" w:rsidRDefault="75CA67E5" w14:paraId="3A0FCA20" w14:textId="3B55D295">
            <w:pPr>
              <w:spacing w:line="259" w:lineRule="auto"/>
              <w:rPr>
                <w:rFonts w:ascii="Calibri" w:hAnsi="Calibri" w:eastAsia="Arial" w:cs="Calibri"/>
                <w:color w:val="000000" w:themeColor="text1" w:themeTint="FF" w:themeShade="FF"/>
                <w:sz w:val="22"/>
                <w:szCs w:val="22"/>
              </w:rPr>
            </w:pPr>
          </w:p>
          <w:p w:rsidRPr="00643B27" w:rsidR="4E922D34" w:rsidP="66B63090" w:rsidRDefault="4E922D34" w14:paraId="09C3CC6B" w14:textId="46EDF6BB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EAL staff</w:t>
            </w:r>
          </w:p>
          <w:p w:rsidRPr="00643B27" w:rsidR="5874B52F" w:rsidP="5874B52F" w:rsidRDefault="5874B52F" w14:paraId="496B2BA4" w14:textId="25B92CFC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PSA staff</w:t>
            </w:r>
          </w:p>
          <w:p w:rsidRPr="00643B27" w:rsidR="5874B52F" w:rsidP="5874B52F" w:rsidRDefault="5874B52F" w14:paraId="1A5B990B" w14:textId="29A244B3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lastRenderedPageBreak/>
              <w:t xml:space="preserve">SfL teacher </w:t>
            </w:r>
          </w:p>
        </w:tc>
        <w:tc>
          <w:tcPr>
            <w:tcW w:w="2560" w:type="dxa"/>
            <w:tcMar>
              <w:left w:w="105" w:type="dxa"/>
              <w:right w:w="105" w:type="dxa"/>
            </w:tcMar>
          </w:tcPr>
          <w:p w:rsidRPr="00643B27" w:rsidR="5874B52F" w:rsidP="5874B52F" w:rsidRDefault="5874B52F" w14:paraId="309670D7" w14:textId="7345F2BB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lastRenderedPageBreak/>
              <w:t xml:space="preserve">Attainment of identified children who access SfL (see SfL overview) </w:t>
            </w:r>
          </w:p>
          <w:p w:rsidRPr="00643B27" w:rsidR="5874B52F" w:rsidP="5874B52F" w:rsidRDefault="5874B52F" w14:paraId="3D30C011" w14:textId="7139BB96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59E89077" w14:textId="7043F226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66B63090" w:rsidP="66B63090" w:rsidRDefault="66B63090" w14:paraId="30DDD0B1" w14:textId="41DB58AA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66B63090" w:rsidP="66B63090" w:rsidRDefault="66B63090" w14:paraId="231DEA57" w14:textId="269AE15F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79002E8" w:rsidP="66B63090" w:rsidRDefault="579002E8" w14:paraId="3E3CBC23" w14:textId="45B49B06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SfL planning reviewed and interventions monitored for impact through termly analysis. </w:t>
            </w:r>
          </w:p>
          <w:p w:rsidRPr="00643B27" w:rsidR="66B63090" w:rsidP="66B63090" w:rsidRDefault="66B63090" w14:paraId="24F8EC83" w14:textId="526C1E7B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66B63090" w:rsidP="66B63090" w:rsidRDefault="66B63090" w14:paraId="71AF3FE6" w14:textId="28BBEC25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79002E8" w:rsidP="66B63090" w:rsidRDefault="579002E8" w14:paraId="6FF603B5" w14:textId="6F95E992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Attainment Data scrutinised to identify groups of learners w</w:t>
            </w:r>
            <w:r w:rsidRPr="00643B27" w:rsidR="206081A1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ho will benefit from </w:t>
            </w: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the</w:t>
            </w:r>
            <w:r w:rsidRPr="00643B27" w:rsidR="7D63CFAC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 input/focus from</w:t>
            </w: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 </w:t>
            </w:r>
            <w:r w:rsidRPr="00643B27" w:rsidR="1C3A2DBF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Additionality</w:t>
            </w: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 Teacher</w:t>
            </w:r>
            <w:r w:rsidRPr="00643B27" w:rsidR="666E6D78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. </w:t>
            </w:r>
          </w:p>
          <w:p w:rsidRPr="00643B27" w:rsidR="66B63090" w:rsidP="66B63090" w:rsidRDefault="66B63090" w14:paraId="0AE37027" w14:textId="5126D9E6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66B63090" w:rsidP="66B63090" w:rsidRDefault="66B63090" w14:paraId="76608C8C" w14:textId="38524104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2AF0C0C3" w14:textId="5A0C8DBC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Reduction of incidents of distressed behaviour – measured through:</w:t>
            </w:r>
          </w:p>
          <w:p w:rsidRPr="00643B27" w:rsidR="5874B52F" w:rsidP="5874B52F" w:rsidRDefault="5874B52F" w14:paraId="39F7E9BE" w14:textId="63BD74BD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Volume of HS1 forms </w:t>
            </w:r>
          </w:p>
          <w:p w:rsidRPr="00643B27" w:rsidR="5874B52F" w:rsidP="5874B52F" w:rsidRDefault="5874B52F" w14:paraId="567C6886" w14:textId="053C59FC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Number of ARAs</w:t>
            </w:r>
          </w:p>
          <w:p w:rsidRPr="00643B27" w:rsidR="5874B52F" w:rsidP="5874B52F" w:rsidRDefault="5874B52F" w14:paraId="0CB3434D" w14:textId="0167E5B8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Number of phone calls to parents/carers </w:t>
            </w:r>
          </w:p>
          <w:p w:rsidRPr="00643B27" w:rsidR="5874B52F" w:rsidP="66B63090" w:rsidRDefault="5874B52F" w14:paraId="5EF7533E" w14:textId="51D76EFC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Number of recorded incidents (</w:t>
            </w:r>
            <w:proofErr w:type="spellStart"/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SEEMiS</w:t>
            </w:r>
            <w:proofErr w:type="spellEnd"/>
          </w:p>
          <w:p w:rsidRPr="00643B27" w:rsidR="66B63090" w:rsidP="66B63090" w:rsidRDefault="66B63090" w14:paraId="67D260CD" w14:textId="4D367DBA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54BD1FD4" w14:textId="63383B71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lastRenderedPageBreak/>
              <w:t>EAL Stages of English Language Acquisition reflect increased acquisition among EAL pupils.</w:t>
            </w:r>
          </w:p>
          <w:p w:rsidRPr="00643B27" w:rsidR="5874B52F" w:rsidP="5874B52F" w:rsidRDefault="5874B52F" w14:paraId="1C73D5DA" w14:textId="5EB96A8A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5874B52F" w14:paraId="35F65B93" w14:textId="093E252A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61" w:type="dxa"/>
            <w:tcMar>
              <w:left w:w="105" w:type="dxa"/>
              <w:right w:w="105" w:type="dxa"/>
            </w:tcMar>
          </w:tcPr>
          <w:p w:rsidRPr="00643B27" w:rsidR="5874B52F" w:rsidP="66B63090" w:rsidRDefault="5874B52F" w14:paraId="3F02AFB1" w14:textId="6B2984C6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lastRenderedPageBreak/>
              <w:t>August 202</w:t>
            </w:r>
            <w:r w:rsidRPr="00643B27" w:rsidR="59E321EF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5</w:t>
            </w:r>
          </w:p>
          <w:p w:rsidRPr="00643B27" w:rsidR="5874B52F" w:rsidP="66B63090" w:rsidRDefault="5874B52F" w14:paraId="7126864C" w14:textId="419EC06B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May 202</w:t>
            </w:r>
            <w:r w:rsidRPr="00643B27" w:rsidR="70D9D923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6</w:t>
            </w:r>
          </w:p>
          <w:p w:rsidRPr="00643B27" w:rsidR="5874B52F" w:rsidP="5874B52F" w:rsidRDefault="5874B52F" w14:paraId="02012968" w14:textId="2610DFB8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14E205AE" w14:textId="17386BE1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35E9EDE2" w14:textId="69F8BCB4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66B63090" w:rsidP="66B63090" w:rsidRDefault="66B63090" w14:paraId="676DB47D" w14:textId="3A78DF1C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66B63090" w:rsidP="66B63090" w:rsidRDefault="66B63090" w14:paraId="0CE12590" w14:textId="62661ECD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5874B52F" w14:paraId="6451A41A" w14:textId="6FDCFE5B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August 202</w:t>
            </w:r>
            <w:r w:rsidRPr="00643B27" w:rsidR="0992135E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5</w:t>
            </w:r>
          </w:p>
          <w:p w:rsidRPr="00643B27" w:rsidR="5874B52F" w:rsidP="66B63090" w:rsidRDefault="5874B52F" w14:paraId="3ECAE5DB" w14:textId="6EFF0C95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January 202</w:t>
            </w:r>
            <w:r w:rsidRPr="00643B27" w:rsidR="7DEED00B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6</w:t>
            </w:r>
          </w:p>
          <w:p w:rsidRPr="00643B27" w:rsidR="5874B52F" w:rsidP="66B63090" w:rsidRDefault="5874B52F" w14:paraId="363F1643" w14:textId="7F93F164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June 202</w:t>
            </w:r>
            <w:r w:rsidRPr="00643B27" w:rsidR="1CDE8D5C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6</w:t>
            </w:r>
          </w:p>
          <w:p w:rsidRPr="00643B27" w:rsidR="5874B52F" w:rsidP="5874B52F" w:rsidRDefault="5874B52F" w14:paraId="5F2DED2C" w14:textId="796F5065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5103F2A4" w14:textId="6F5CDB47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5874B52F" w:rsidRDefault="5874B52F" w14:paraId="16A65415" w14:textId="13E6F5A3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22ABBE84" w14:paraId="75481C6E" w14:textId="682C6B2C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Aug 2025 to identify groups</w:t>
            </w:r>
          </w:p>
          <w:p w:rsidRPr="00643B27" w:rsidR="22ABBE84" w:rsidP="66B63090" w:rsidRDefault="22ABBE84" w14:paraId="41F13AB7" w14:textId="0C31C8CA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Dec 2025 to do mid-way evaluation</w:t>
            </w:r>
          </w:p>
          <w:p w:rsidRPr="00643B27" w:rsidR="22ABBE84" w:rsidP="66B63090" w:rsidRDefault="22ABBE84" w14:paraId="74416957" w14:textId="5189D7B1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May 2026 to evaluate impact. </w:t>
            </w:r>
          </w:p>
          <w:p w:rsidRPr="00643B27" w:rsidR="5874B52F" w:rsidP="66B63090" w:rsidRDefault="5874B52F" w14:paraId="2DC00A63" w14:textId="04B9223D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5874B52F" w14:paraId="0662EFD4" w14:textId="02D94AB4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52C06940" w14:paraId="0D18466B" w14:textId="0042AE2A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 xml:space="preserve">Termly </w:t>
            </w:r>
            <w:r w:rsidRPr="00643B27" w:rsidR="0531B35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t>analysis</w:t>
            </w:r>
          </w:p>
          <w:p w:rsidRPr="00643B27" w:rsidR="5874B52F" w:rsidP="66B63090" w:rsidRDefault="5874B52F" w14:paraId="442353B2" w14:textId="35188FAF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5874B52F" w14:paraId="7EE30327" w14:textId="0DC4A2BD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5874B52F" w14:paraId="3C250257" w14:textId="222581F3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5874B52F" w14:paraId="153D6067" w14:textId="2E3451AE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5874B52F" w14:paraId="3F0A4AD8" w14:textId="68261302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5874B52F" w14:paraId="14AA224D" w14:textId="5B9E0AB4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5874B52F" w14:paraId="013ACCCB" w14:textId="3EEC4388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5874B52F" w14:paraId="320D998C" w14:textId="3AC35AC1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5874B52F" w14:paraId="3F04FAB9" w14:textId="7589C48C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5874B52F" w14:paraId="1FD372DD" w14:textId="4A5EE1E6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="00643B27" w:rsidP="66B63090" w:rsidRDefault="00643B27" w14:paraId="4FC2C3CB" w14:textId="77777777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="00643B27" w:rsidP="66B63090" w:rsidRDefault="00643B27" w14:paraId="4E294A96" w14:textId="77777777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="00643B27" w:rsidP="66B63090" w:rsidRDefault="00643B27" w14:paraId="43CABFB1" w14:textId="77777777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</w:p>
          <w:p w:rsidRPr="00643B27" w:rsidR="5874B52F" w:rsidP="66B63090" w:rsidRDefault="48711BEE" w14:paraId="1FF6B6CD" w14:textId="211F2B3E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</w:pPr>
            <w:r w:rsidRPr="00643B27">
              <w:rPr>
                <w:rFonts w:ascii="Calibri" w:hAnsi="Calibri" w:eastAsia="Arial" w:cs="Calibri"/>
                <w:color w:val="000000" w:themeColor="text1"/>
                <w:sz w:val="22"/>
                <w:szCs w:val="22"/>
              </w:rPr>
              <w:lastRenderedPageBreak/>
              <w:t>Audited in Sep 25 and June 26</w:t>
            </w:r>
          </w:p>
        </w:tc>
      </w:tr>
      <w:tr w:rsidRPr="00643B27" w:rsidR="5874B52F" w:rsidTr="75CA67E5" w14:paraId="499A05ED" w14:textId="77777777">
        <w:trPr>
          <w:trHeight w:val="300"/>
        </w:trPr>
        <w:tc>
          <w:tcPr>
            <w:tcW w:w="15376" w:type="dxa"/>
            <w:gridSpan w:val="6"/>
            <w:tcMar>
              <w:left w:w="105" w:type="dxa"/>
              <w:right w:w="105" w:type="dxa"/>
            </w:tcMar>
            <w:vAlign w:val="center"/>
          </w:tcPr>
          <w:p w:rsidRPr="00643B27" w:rsidR="5874B52F" w:rsidP="66B63090" w:rsidRDefault="5874B52F" w14:paraId="328BCF02" w14:textId="2640F699">
            <w:pPr>
              <w:spacing w:line="259" w:lineRule="auto"/>
              <w:rPr>
                <w:rFonts w:ascii="Calibri" w:hAnsi="Calibri" w:eastAsia="Arial" w:cs="Calibri"/>
                <w:color w:val="000000" w:themeColor="text1"/>
              </w:rPr>
            </w:pPr>
            <w:r w:rsidRPr="00643B27">
              <w:rPr>
                <w:rFonts w:ascii="Calibri" w:hAnsi="Calibri" w:eastAsia="Arial" w:cs="Calibri"/>
                <w:b/>
                <w:bCs/>
                <w:color w:val="000000" w:themeColor="text1"/>
              </w:rPr>
              <w:lastRenderedPageBreak/>
              <w:t>Ongoing Evaluation</w:t>
            </w:r>
          </w:p>
          <w:p w:rsidRPr="00643B27" w:rsidR="5874B52F" w:rsidP="66B63090" w:rsidRDefault="5874B52F" w14:paraId="6E95BFE4" w14:textId="584565BC">
            <w:pPr>
              <w:spacing w:line="259" w:lineRule="auto"/>
              <w:rPr>
                <w:rFonts w:ascii="Calibri" w:hAnsi="Calibri" w:eastAsia="Arial" w:cs="Calibri"/>
                <w:b/>
                <w:bCs/>
                <w:color w:val="000000" w:themeColor="text1"/>
              </w:rPr>
            </w:pPr>
          </w:p>
        </w:tc>
      </w:tr>
    </w:tbl>
    <w:p w:rsidRPr="00643B27" w:rsidR="00D21AFB" w:rsidRDefault="00D21AFB" w14:paraId="5E5787A5" w14:textId="00AA5D74">
      <w:pPr>
        <w:rPr>
          <w:rFonts w:ascii="Calibri" w:hAnsi="Calibri" w:cs="Calibri"/>
        </w:rPr>
      </w:pPr>
    </w:p>
    <w:sectPr w:rsidRPr="00643B27" w:rsidR="00D21AFB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auto"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CDD7"/>
    <w:multiLevelType w:val="hybridMultilevel"/>
    <w:tmpl w:val="A99669AE"/>
    <w:lvl w:ilvl="0" w:tplc="AC220A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686DD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E4D7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9231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14A4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6C77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CC13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6296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C627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FEE9A0"/>
    <w:multiLevelType w:val="hybridMultilevel"/>
    <w:tmpl w:val="9FE81760"/>
    <w:lvl w:ilvl="0" w:tplc="3B14C2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46AA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0EAC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DADB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88F0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245B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BE43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863C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8832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A573181"/>
    <w:multiLevelType w:val="hybridMultilevel"/>
    <w:tmpl w:val="3098B3A8"/>
    <w:lvl w:ilvl="0" w:tplc="E82A50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EC614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CC6FF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4036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504B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CAF1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02B7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E0F5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F2B4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99BAFFC"/>
    <w:multiLevelType w:val="hybridMultilevel"/>
    <w:tmpl w:val="6DEED228"/>
    <w:lvl w:ilvl="0" w:tplc="0228F7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3C8D2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D6EF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9F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3651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1AB3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C0F9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A49C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7A43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546A833"/>
    <w:multiLevelType w:val="hybridMultilevel"/>
    <w:tmpl w:val="82C4303E"/>
    <w:lvl w:ilvl="0" w:tplc="313E74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1C45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10E9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F0D1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9A5F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02ABC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07895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0276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1AC4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B3EF1D6"/>
    <w:multiLevelType w:val="hybridMultilevel"/>
    <w:tmpl w:val="58A2D7AA"/>
    <w:lvl w:ilvl="0" w:tplc="53C2A5D8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4E76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760D2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4673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601A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0297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7488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7CD0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3431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C548F36"/>
    <w:multiLevelType w:val="hybridMultilevel"/>
    <w:tmpl w:val="8BDE4C30"/>
    <w:lvl w:ilvl="0" w:tplc="5F6C29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FAB1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24EC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6A07D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30A5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02F4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A240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08D4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62BE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CE3ED4"/>
    <w:rsid w:val="00035B05"/>
    <w:rsid w:val="001C827F"/>
    <w:rsid w:val="003441AD"/>
    <w:rsid w:val="003656F6"/>
    <w:rsid w:val="005434EB"/>
    <w:rsid w:val="005B29F2"/>
    <w:rsid w:val="00643B27"/>
    <w:rsid w:val="006879FB"/>
    <w:rsid w:val="008C4C28"/>
    <w:rsid w:val="009E1445"/>
    <w:rsid w:val="009F6240"/>
    <w:rsid w:val="00C029C7"/>
    <w:rsid w:val="00D21AFB"/>
    <w:rsid w:val="015C0C46"/>
    <w:rsid w:val="025D75F1"/>
    <w:rsid w:val="031AEA68"/>
    <w:rsid w:val="03A7B549"/>
    <w:rsid w:val="03B6E4C9"/>
    <w:rsid w:val="0531B357"/>
    <w:rsid w:val="06644440"/>
    <w:rsid w:val="06A84CB2"/>
    <w:rsid w:val="081FECB2"/>
    <w:rsid w:val="08BE8035"/>
    <w:rsid w:val="0992135E"/>
    <w:rsid w:val="0AA216D7"/>
    <w:rsid w:val="0AA6EC25"/>
    <w:rsid w:val="0AC1BC98"/>
    <w:rsid w:val="0B5BE693"/>
    <w:rsid w:val="0C4898F1"/>
    <w:rsid w:val="0C89F8FE"/>
    <w:rsid w:val="0CAB7C1E"/>
    <w:rsid w:val="0EA25AD6"/>
    <w:rsid w:val="11748BD1"/>
    <w:rsid w:val="12110F5B"/>
    <w:rsid w:val="124642B5"/>
    <w:rsid w:val="1281A53B"/>
    <w:rsid w:val="135578A8"/>
    <w:rsid w:val="162A0EAF"/>
    <w:rsid w:val="17AC24C2"/>
    <w:rsid w:val="17B3D143"/>
    <w:rsid w:val="195B1346"/>
    <w:rsid w:val="19AAB095"/>
    <w:rsid w:val="1A56C79D"/>
    <w:rsid w:val="1AEE5ADD"/>
    <w:rsid w:val="1C3A2DBF"/>
    <w:rsid w:val="1CDE8D5C"/>
    <w:rsid w:val="1DF7EF75"/>
    <w:rsid w:val="206081A1"/>
    <w:rsid w:val="21E8AFB1"/>
    <w:rsid w:val="223CE630"/>
    <w:rsid w:val="22ABBE84"/>
    <w:rsid w:val="22BA5F1F"/>
    <w:rsid w:val="232F5BE2"/>
    <w:rsid w:val="24F129E9"/>
    <w:rsid w:val="261818E0"/>
    <w:rsid w:val="27857E82"/>
    <w:rsid w:val="28875E2B"/>
    <w:rsid w:val="2963BCE3"/>
    <w:rsid w:val="2BC3D3A2"/>
    <w:rsid w:val="2D7B64E5"/>
    <w:rsid w:val="308B5A81"/>
    <w:rsid w:val="31BB637B"/>
    <w:rsid w:val="34767ADA"/>
    <w:rsid w:val="34BF2C98"/>
    <w:rsid w:val="34D3E071"/>
    <w:rsid w:val="366EBF25"/>
    <w:rsid w:val="377A36F5"/>
    <w:rsid w:val="382A72C7"/>
    <w:rsid w:val="385BA739"/>
    <w:rsid w:val="399BAD0A"/>
    <w:rsid w:val="3A3F72B5"/>
    <w:rsid w:val="3F30371C"/>
    <w:rsid w:val="437701DA"/>
    <w:rsid w:val="43808FD3"/>
    <w:rsid w:val="446184E3"/>
    <w:rsid w:val="4628B9A9"/>
    <w:rsid w:val="4651A683"/>
    <w:rsid w:val="46AC93DD"/>
    <w:rsid w:val="48711BEE"/>
    <w:rsid w:val="488A12F0"/>
    <w:rsid w:val="48C1E1F5"/>
    <w:rsid w:val="4A540B8E"/>
    <w:rsid w:val="4E922D34"/>
    <w:rsid w:val="4FB2E25E"/>
    <w:rsid w:val="519B3A6F"/>
    <w:rsid w:val="51F4AFEB"/>
    <w:rsid w:val="52C06940"/>
    <w:rsid w:val="52CE3ED4"/>
    <w:rsid w:val="5348491E"/>
    <w:rsid w:val="562F6BB4"/>
    <w:rsid w:val="579002E8"/>
    <w:rsid w:val="5802B8EA"/>
    <w:rsid w:val="5874B52F"/>
    <w:rsid w:val="59E321EF"/>
    <w:rsid w:val="5A4A59A2"/>
    <w:rsid w:val="5B60DFF7"/>
    <w:rsid w:val="5BDD8A9D"/>
    <w:rsid w:val="5C013AA3"/>
    <w:rsid w:val="5D335833"/>
    <w:rsid w:val="616186D4"/>
    <w:rsid w:val="61816EDE"/>
    <w:rsid w:val="61C5EE6C"/>
    <w:rsid w:val="621E3507"/>
    <w:rsid w:val="63FEEADB"/>
    <w:rsid w:val="64A7F156"/>
    <w:rsid w:val="666E6D78"/>
    <w:rsid w:val="66B63090"/>
    <w:rsid w:val="66E5DDEB"/>
    <w:rsid w:val="67A201CC"/>
    <w:rsid w:val="68F121C0"/>
    <w:rsid w:val="6AAB3B96"/>
    <w:rsid w:val="6AD145CA"/>
    <w:rsid w:val="6AFEF5F9"/>
    <w:rsid w:val="6B82A1EB"/>
    <w:rsid w:val="6D82CCE4"/>
    <w:rsid w:val="6DF473BB"/>
    <w:rsid w:val="6E3C3E8B"/>
    <w:rsid w:val="6F1D78AA"/>
    <w:rsid w:val="6F74D635"/>
    <w:rsid w:val="6FAFDDD8"/>
    <w:rsid w:val="70D9D923"/>
    <w:rsid w:val="71BA5C3A"/>
    <w:rsid w:val="71D2E53B"/>
    <w:rsid w:val="72995349"/>
    <w:rsid w:val="751733E2"/>
    <w:rsid w:val="75CA67E5"/>
    <w:rsid w:val="75E516DA"/>
    <w:rsid w:val="7B8E691B"/>
    <w:rsid w:val="7D63CFAC"/>
    <w:rsid w:val="7DEED00B"/>
    <w:rsid w:val="7FF7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E3ED4"/>
  <w15:chartTrackingRefBased/>
  <w15:docId w15:val="{E861DADA-93BE-4086-A4F2-6F1CA029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5874B52F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Gemma Friel</dc:creator>
  <keywords/>
  <dc:description/>
  <lastModifiedBy>Gemma Friel</lastModifiedBy>
  <revision>13</revision>
  <dcterms:created xsi:type="dcterms:W3CDTF">2025-06-12T14:49:00.0000000Z</dcterms:created>
  <dcterms:modified xsi:type="dcterms:W3CDTF">2025-08-11T08:46:22.8630313Z</dcterms:modified>
</coreProperties>
</file>