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C1F1" w14:textId="77777777" w:rsidR="008B18E0" w:rsidRDefault="00000000">
      <w:pPr>
        <w:tabs>
          <w:tab w:val="center" w:pos="4326"/>
        </w:tabs>
        <w:spacing w:after="3"/>
      </w:pPr>
      <w:r>
        <w:rPr>
          <w:rFonts w:ascii="Arial" w:eastAsia="Arial" w:hAnsi="Arial" w:cs="Arial"/>
          <w:color w:val="595959"/>
          <w:sz w:val="24"/>
        </w:rPr>
        <w:t xml:space="preserve"> </w:t>
      </w:r>
      <w:r>
        <w:rPr>
          <w:noProof/>
        </w:rPr>
        <w:drawing>
          <wp:inline distT="0" distB="0" distL="0" distR="0" wp14:anchorId="33D8292E" wp14:editId="06B09086">
            <wp:extent cx="1976120" cy="7904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76120" cy="790448"/>
                    </a:xfrm>
                    <a:prstGeom prst="rect">
                      <a:avLst/>
                    </a:prstGeom>
                  </pic:spPr>
                </pic:pic>
              </a:graphicData>
            </a:graphic>
          </wp:inline>
        </w:drawing>
      </w:r>
      <w:r>
        <w:rPr>
          <w:rFonts w:ascii="Arial" w:eastAsia="Arial" w:hAnsi="Arial" w:cs="Arial"/>
          <w:color w:val="595959"/>
          <w:sz w:val="24"/>
        </w:rPr>
        <w:tab/>
        <w:t xml:space="preserve"> </w:t>
      </w:r>
    </w:p>
    <w:p w14:paraId="5B660ADF" w14:textId="77777777" w:rsidR="008B18E0" w:rsidRDefault="00000000">
      <w:pPr>
        <w:spacing w:after="13"/>
      </w:pPr>
      <w:r>
        <w:rPr>
          <w:rFonts w:ascii="Arial" w:eastAsia="Arial" w:hAnsi="Arial" w:cs="Arial"/>
          <w:color w:val="595959"/>
          <w:sz w:val="24"/>
        </w:rPr>
        <w:t xml:space="preserve"> </w:t>
      </w:r>
      <w:r>
        <w:rPr>
          <w:rFonts w:ascii="Arial" w:eastAsia="Arial" w:hAnsi="Arial" w:cs="Arial"/>
          <w:color w:val="595959"/>
          <w:sz w:val="24"/>
        </w:rPr>
        <w:tab/>
        <w:t xml:space="preserve"> </w:t>
      </w:r>
    </w:p>
    <w:p w14:paraId="74BC026C" w14:textId="77777777" w:rsidR="008B18E0" w:rsidRDefault="00000000">
      <w:pPr>
        <w:spacing w:after="514" w:line="248" w:lineRule="auto"/>
        <w:ind w:left="-5" w:right="17" w:hanging="10"/>
      </w:pPr>
      <w:r>
        <w:rPr>
          <w:rFonts w:ascii="Arial" w:eastAsia="Arial" w:hAnsi="Arial" w:cs="Arial"/>
          <w:sz w:val="24"/>
        </w:rPr>
        <w:t xml:space="preserve">16 September 2025 </w:t>
      </w:r>
    </w:p>
    <w:p w14:paraId="6BB5DB46" w14:textId="77777777" w:rsidR="008B18E0" w:rsidRDefault="00000000">
      <w:pPr>
        <w:spacing w:after="242" w:line="248" w:lineRule="auto"/>
        <w:ind w:left="-5" w:right="17" w:hanging="10"/>
      </w:pPr>
      <w:r>
        <w:rPr>
          <w:rFonts w:ascii="Arial" w:eastAsia="Arial" w:hAnsi="Arial" w:cs="Arial"/>
          <w:sz w:val="24"/>
        </w:rPr>
        <w:t xml:space="preserve">Dear Parent/Carer  </w:t>
      </w:r>
    </w:p>
    <w:p w14:paraId="3AA9F7F4" w14:textId="77777777" w:rsidR="008B18E0" w:rsidRDefault="00000000">
      <w:pPr>
        <w:spacing w:after="2" w:line="248" w:lineRule="auto"/>
        <w:ind w:left="-5" w:right="427" w:hanging="10"/>
      </w:pPr>
      <w:r>
        <w:rPr>
          <w:rFonts w:ascii="Arial" w:eastAsia="Arial" w:hAnsi="Arial" w:cs="Arial"/>
          <w:color w:val="333333"/>
          <w:sz w:val="24"/>
        </w:rPr>
        <w:t xml:space="preserve">In June 2025, a </w:t>
      </w:r>
      <w:r>
        <w:rPr>
          <w:rFonts w:ascii="Arial" w:eastAsia="Arial" w:hAnsi="Arial" w:cs="Arial"/>
          <w:sz w:val="24"/>
        </w:rPr>
        <w:t xml:space="preserve">team of inspectors from </w:t>
      </w:r>
      <w:r>
        <w:rPr>
          <w:rFonts w:ascii="Arial" w:eastAsia="Arial" w:hAnsi="Arial" w:cs="Arial"/>
          <w:color w:val="333333"/>
          <w:sz w:val="24"/>
        </w:rPr>
        <w:t xml:space="preserve">Education Scotland visited Fair Isle Primary School. During </w:t>
      </w:r>
      <w:r>
        <w:rPr>
          <w:rFonts w:ascii="Arial" w:eastAsia="Arial" w:hAnsi="Arial" w:cs="Arial"/>
          <w:sz w:val="24"/>
        </w:rPr>
        <w:t xml:space="preserve">our visit, we talked to parents/carers and children and worked closely with the headteacher and staff. </w:t>
      </w:r>
    </w:p>
    <w:p w14:paraId="259A184B" w14:textId="77777777" w:rsidR="008B18E0" w:rsidRDefault="00000000">
      <w:pPr>
        <w:spacing w:after="0"/>
      </w:pPr>
      <w:r>
        <w:rPr>
          <w:rFonts w:ascii="Arial" w:eastAsia="Arial" w:hAnsi="Arial" w:cs="Arial"/>
          <w:sz w:val="24"/>
        </w:rPr>
        <w:t xml:space="preserve"> </w:t>
      </w:r>
    </w:p>
    <w:p w14:paraId="23A2C81E" w14:textId="77777777" w:rsidR="008B18E0" w:rsidRDefault="00000000">
      <w:pPr>
        <w:spacing w:after="0"/>
      </w:pPr>
      <w:r>
        <w:rPr>
          <w:rFonts w:ascii="Arial" w:eastAsia="Arial" w:hAnsi="Arial" w:cs="Arial"/>
          <w:sz w:val="24"/>
        </w:rPr>
        <w:t xml:space="preserve">The inspection team found the following strengths in the school’s work. </w:t>
      </w:r>
    </w:p>
    <w:p w14:paraId="36E3FCB1" w14:textId="77777777" w:rsidR="008B18E0" w:rsidRDefault="00000000">
      <w:pPr>
        <w:spacing w:after="0"/>
      </w:pPr>
      <w:r>
        <w:rPr>
          <w:rFonts w:ascii="Arial" w:eastAsia="Arial" w:hAnsi="Arial" w:cs="Arial"/>
          <w:sz w:val="24"/>
        </w:rPr>
        <w:t xml:space="preserve"> </w:t>
      </w:r>
    </w:p>
    <w:p w14:paraId="6361EB50" w14:textId="77777777" w:rsidR="008B18E0" w:rsidRDefault="00000000">
      <w:pPr>
        <w:numPr>
          <w:ilvl w:val="0"/>
          <w:numId w:val="1"/>
        </w:numPr>
        <w:spacing w:after="2" w:line="248" w:lineRule="auto"/>
        <w:ind w:right="32" w:hanging="353"/>
      </w:pPr>
      <w:r>
        <w:rPr>
          <w:rFonts w:ascii="Arial" w:eastAsia="Arial" w:hAnsi="Arial" w:cs="Arial"/>
          <w:sz w:val="24"/>
        </w:rPr>
        <w:t xml:space="preserve">Across the school, staff have created a caring, inclusive learning environment where positive relationships are central to school life. Children demonstrate pride in their school, a strong sense of belonging and are developing leadership skills while achieving well across a range of areas. </w:t>
      </w:r>
    </w:p>
    <w:p w14:paraId="3E8D542C" w14:textId="77777777" w:rsidR="008B18E0" w:rsidRDefault="00000000">
      <w:pPr>
        <w:spacing w:after="0"/>
      </w:pPr>
      <w:r>
        <w:rPr>
          <w:rFonts w:ascii="Arial" w:eastAsia="Arial" w:hAnsi="Arial" w:cs="Arial"/>
          <w:sz w:val="24"/>
        </w:rPr>
        <w:t xml:space="preserve"> </w:t>
      </w:r>
    </w:p>
    <w:p w14:paraId="4EE2FC57" w14:textId="77777777" w:rsidR="008B18E0" w:rsidRDefault="00000000">
      <w:pPr>
        <w:numPr>
          <w:ilvl w:val="0"/>
          <w:numId w:val="1"/>
        </w:numPr>
        <w:spacing w:after="2" w:line="248" w:lineRule="auto"/>
        <w:ind w:right="32" w:hanging="353"/>
      </w:pPr>
      <w:r>
        <w:rPr>
          <w:rFonts w:ascii="Arial" w:eastAsia="Arial" w:hAnsi="Arial" w:cs="Arial"/>
          <w:sz w:val="24"/>
        </w:rPr>
        <w:t xml:space="preserve">Senior leaders and staff have developed effective partnerships with the local community which are helping to improve children’s learning experiences and wellbeing.  </w:t>
      </w:r>
    </w:p>
    <w:p w14:paraId="74F78612" w14:textId="77777777" w:rsidR="008B18E0" w:rsidRDefault="00000000">
      <w:pPr>
        <w:spacing w:after="0"/>
      </w:pPr>
      <w:r>
        <w:rPr>
          <w:rFonts w:ascii="Arial" w:eastAsia="Arial" w:hAnsi="Arial" w:cs="Arial"/>
          <w:color w:val="595959"/>
          <w:sz w:val="24"/>
        </w:rPr>
        <w:t xml:space="preserve"> </w:t>
      </w:r>
    </w:p>
    <w:p w14:paraId="56DF5307" w14:textId="77777777" w:rsidR="008B18E0" w:rsidRDefault="00000000">
      <w:pPr>
        <w:numPr>
          <w:ilvl w:val="0"/>
          <w:numId w:val="1"/>
        </w:numPr>
        <w:spacing w:after="1" w:line="243" w:lineRule="auto"/>
        <w:ind w:right="32" w:hanging="353"/>
      </w:pPr>
      <w:r>
        <w:rPr>
          <w:rFonts w:ascii="Arial" w:eastAsia="Arial" w:hAnsi="Arial" w:cs="Arial"/>
          <w:sz w:val="24"/>
        </w:rPr>
        <w:t xml:space="preserve">Teachers’ collaborative approaches are improving the quality and consistency of learning and teaching. They consistently provide children with clear routines in well-organised classrooms, where learners are aware of what they are learning and why.  </w:t>
      </w:r>
    </w:p>
    <w:p w14:paraId="5081225C" w14:textId="77777777" w:rsidR="008B18E0" w:rsidRDefault="00000000">
      <w:pPr>
        <w:spacing w:after="0"/>
      </w:pPr>
      <w:r>
        <w:rPr>
          <w:rFonts w:ascii="Arial" w:eastAsia="Arial" w:hAnsi="Arial" w:cs="Arial"/>
          <w:color w:val="595959"/>
          <w:sz w:val="24"/>
        </w:rPr>
        <w:t xml:space="preserve"> </w:t>
      </w:r>
    </w:p>
    <w:p w14:paraId="05101611" w14:textId="77777777" w:rsidR="008B18E0" w:rsidRDefault="00000000">
      <w:pPr>
        <w:numPr>
          <w:ilvl w:val="0"/>
          <w:numId w:val="1"/>
        </w:numPr>
        <w:spacing w:after="1" w:line="243" w:lineRule="auto"/>
        <w:ind w:right="32" w:hanging="353"/>
      </w:pPr>
      <w:r>
        <w:rPr>
          <w:rFonts w:ascii="Arial" w:eastAsia="Arial" w:hAnsi="Arial" w:cs="Arial"/>
          <w:sz w:val="24"/>
        </w:rPr>
        <w:t xml:space="preserve">Teachers’ effective work on developing mental agility and knowledge of fractions, particularly in the upper stages. This is increasing children’s confidence and improving their skills in working with number. </w:t>
      </w:r>
    </w:p>
    <w:p w14:paraId="552B3A34" w14:textId="77777777" w:rsidR="008B18E0" w:rsidRDefault="00000000">
      <w:pPr>
        <w:spacing w:after="118"/>
      </w:pPr>
      <w:r>
        <w:rPr>
          <w:rFonts w:ascii="Arial" w:eastAsia="Arial" w:hAnsi="Arial" w:cs="Arial"/>
          <w:sz w:val="24"/>
        </w:rPr>
        <w:t xml:space="preserve"> </w:t>
      </w:r>
    </w:p>
    <w:p w14:paraId="7664C749" w14:textId="77777777" w:rsidR="008B18E0" w:rsidRDefault="00000000">
      <w:pPr>
        <w:spacing w:after="2" w:line="248" w:lineRule="auto"/>
        <w:ind w:left="-5" w:right="17" w:hanging="10"/>
      </w:pPr>
      <w:r>
        <w:rPr>
          <w:rFonts w:ascii="Arial" w:eastAsia="Arial" w:hAnsi="Arial" w:cs="Arial"/>
          <w:sz w:val="24"/>
        </w:rPr>
        <w:t xml:space="preserve">The following areas for improvement were identified and discussed with the headteacher and a representative from Fife Council. </w:t>
      </w:r>
    </w:p>
    <w:p w14:paraId="133E3907" w14:textId="77777777" w:rsidR="008B18E0" w:rsidRDefault="00000000">
      <w:pPr>
        <w:spacing w:after="0"/>
      </w:pPr>
      <w:r>
        <w:rPr>
          <w:rFonts w:ascii="Arial" w:eastAsia="Arial" w:hAnsi="Arial" w:cs="Arial"/>
          <w:sz w:val="24"/>
        </w:rPr>
        <w:t xml:space="preserve"> </w:t>
      </w:r>
    </w:p>
    <w:p w14:paraId="551E7E9C" w14:textId="77777777" w:rsidR="008B18E0" w:rsidRDefault="00000000">
      <w:pPr>
        <w:numPr>
          <w:ilvl w:val="0"/>
          <w:numId w:val="1"/>
        </w:numPr>
        <w:spacing w:after="1" w:line="243" w:lineRule="auto"/>
        <w:ind w:right="32" w:hanging="353"/>
      </w:pPr>
      <w:r>
        <w:rPr>
          <w:rFonts w:ascii="Arial" w:eastAsia="Arial" w:hAnsi="Arial" w:cs="Arial"/>
          <w:sz w:val="24"/>
        </w:rPr>
        <w:t xml:space="preserve">Teachers should continue to build on the positive work they have started in deepening their understanding of national standards. This will help teachers to enhance further their ability to identify and plan appropriate next steps in learning. </w:t>
      </w:r>
    </w:p>
    <w:p w14:paraId="0DEC01F0" w14:textId="77777777" w:rsidR="008B18E0" w:rsidRDefault="00000000">
      <w:pPr>
        <w:spacing w:after="0"/>
      </w:pPr>
      <w:r>
        <w:rPr>
          <w:rFonts w:ascii="Arial" w:eastAsia="Arial" w:hAnsi="Arial" w:cs="Arial"/>
          <w:sz w:val="24"/>
        </w:rPr>
        <w:t xml:space="preserve"> </w:t>
      </w:r>
    </w:p>
    <w:p w14:paraId="321310CE" w14:textId="77777777" w:rsidR="008B18E0" w:rsidRDefault="00000000">
      <w:pPr>
        <w:numPr>
          <w:ilvl w:val="0"/>
          <w:numId w:val="1"/>
        </w:numPr>
        <w:spacing w:after="2" w:line="248" w:lineRule="auto"/>
        <w:ind w:right="32" w:hanging="353"/>
      </w:pPr>
      <w:r>
        <w:rPr>
          <w:rFonts w:ascii="Arial" w:eastAsia="Arial" w:hAnsi="Arial" w:cs="Arial"/>
          <w:sz w:val="24"/>
        </w:rPr>
        <w:t xml:space="preserve">Teachers should now focus on ensuring learning is well matched to the needs of all children. This should lead to raised attainment for children. </w:t>
      </w:r>
    </w:p>
    <w:p w14:paraId="207886A7" w14:textId="77777777" w:rsidR="008B18E0" w:rsidRDefault="00000000">
      <w:pPr>
        <w:spacing w:after="0"/>
      </w:pPr>
      <w:r>
        <w:rPr>
          <w:rFonts w:ascii="Arial" w:eastAsia="Arial" w:hAnsi="Arial" w:cs="Arial"/>
          <w:color w:val="595959"/>
          <w:sz w:val="24"/>
        </w:rPr>
        <w:t xml:space="preserve"> </w:t>
      </w:r>
    </w:p>
    <w:p w14:paraId="4AD28A03" w14:textId="77777777" w:rsidR="008B18E0" w:rsidRDefault="00000000">
      <w:pPr>
        <w:spacing w:after="2896"/>
      </w:pPr>
      <w:r>
        <w:rPr>
          <w:rFonts w:ascii="Arial" w:eastAsia="Arial" w:hAnsi="Arial" w:cs="Arial"/>
          <w:color w:val="595959"/>
          <w:sz w:val="24"/>
        </w:rPr>
        <w:t xml:space="preserve"> </w:t>
      </w:r>
      <w:r>
        <w:rPr>
          <w:rFonts w:ascii="Arial" w:eastAsia="Arial" w:hAnsi="Arial" w:cs="Arial"/>
          <w:color w:val="595959"/>
          <w:sz w:val="24"/>
        </w:rPr>
        <w:tab/>
      </w:r>
      <w:r>
        <w:rPr>
          <w:rFonts w:ascii="Arial" w:eastAsia="Arial" w:hAnsi="Arial" w:cs="Arial"/>
          <w:sz w:val="24"/>
        </w:rPr>
        <w:t xml:space="preserve"> </w:t>
      </w:r>
    </w:p>
    <w:p w14:paraId="0A056AA9" w14:textId="77777777" w:rsidR="008B18E0" w:rsidRDefault="00000000">
      <w:pPr>
        <w:spacing w:after="0"/>
        <w:ind w:right="-11"/>
      </w:pPr>
      <w:r>
        <w:rPr>
          <w:rFonts w:ascii="Arial" w:eastAsia="Arial" w:hAnsi="Arial" w:cs="Arial"/>
          <w:color w:val="595959"/>
          <w:sz w:val="24"/>
        </w:rPr>
        <w:lastRenderedPageBreak/>
        <w:t xml:space="preserve"> </w:t>
      </w:r>
      <w:r>
        <w:rPr>
          <w:noProof/>
        </w:rPr>
        <mc:AlternateContent>
          <mc:Choice Requires="wpg">
            <w:drawing>
              <wp:inline distT="0" distB="0" distL="0" distR="0" wp14:anchorId="3EA50ABE" wp14:editId="5C99FF5A">
                <wp:extent cx="6459856" cy="9525"/>
                <wp:effectExtent l="0" t="0" r="0" b="0"/>
                <wp:docPr id="2027" name="Group 2027"/>
                <wp:cNvGraphicFramePr/>
                <a:graphic xmlns:a="http://schemas.openxmlformats.org/drawingml/2006/main">
                  <a:graphicData uri="http://schemas.microsoft.com/office/word/2010/wordprocessingGroup">
                    <wpg:wgp>
                      <wpg:cNvGrpSpPr/>
                      <wpg:grpSpPr>
                        <a:xfrm>
                          <a:off x="0" y="0"/>
                          <a:ext cx="6459856" cy="9525"/>
                          <a:chOff x="0" y="0"/>
                          <a:chExt cx="6459856" cy="9525"/>
                        </a:xfrm>
                      </wpg:grpSpPr>
                      <wps:wsp>
                        <wps:cNvPr id="28" name="Shape 28"/>
                        <wps:cNvSpPr/>
                        <wps:spPr>
                          <a:xfrm>
                            <a:off x="0" y="0"/>
                            <a:ext cx="6459856" cy="0"/>
                          </a:xfrm>
                          <a:custGeom>
                            <a:avLst/>
                            <a:gdLst/>
                            <a:ahLst/>
                            <a:cxnLst/>
                            <a:rect l="0" t="0" r="0" b="0"/>
                            <a:pathLst>
                              <a:path w="6459856">
                                <a:moveTo>
                                  <a:pt x="0" y="0"/>
                                </a:moveTo>
                                <a:lnTo>
                                  <a:pt x="6459856" y="0"/>
                                </a:lnTo>
                              </a:path>
                            </a:pathLst>
                          </a:custGeom>
                          <a:ln w="9525" cap="flat">
                            <a:round/>
                          </a:ln>
                        </wps:spPr>
                        <wps:style>
                          <a:lnRef idx="1">
                            <a:srgbClr val="B3D23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7" style="width:508.65pt;height:0.75pt;mso-position-horizontal-relative:char;mso-position-vertical-relative:line" coordsize="64598,95">
                <v:shape id="Shape 28" style="position:absolute;width:64598;height:0;left:0;top:0;" coordsize="6459856,0" path="m0,0l6459856,0">
                  <v:stroke weight="0.75pt" endcap="flat" joinstyle="round" on="true" color="#b3d236"/>
                  <v:fill on="false" color="#000000" opacity="0"/>
                </v:shape>
              </v:group>
            </w:pict>
          </mc:Fallback>
        </mc:AlternateContent>
      </w:r>
    </w:p>
    <w:p w14:paraId="0CD99982" w14:textId="77777777" w:rsidR="008B18E0" w:rsidRDefault="00000000">
      <w:pPr>
        <w:tabs>
          <w:tab w:val="right" w:pos="10218"/>
        </w:tabs>
        <w:spacing w:after="422"/>
        <w:ind w:left="-15" w:right="-15"/>
      </w:pPr>
      <w:r>
        <w:rPr>
          <w:rFonts w:ascii="Arial" w:eastAsia="Arial" w:hAnsi="Arial" w:cs="Arial"/>
          <w:sz w:val="18"/>
        </w:rPr>
        <w:t xml:space="preserve">1   |   </w:t>
      </w:r>
      <w:r>
        <w:rPr>
          <w:rFonts w:ascii="Arial" w:eastAsia="Arial" w:hAnsi="Arial" w:cs="Arial"/>
          <w:color w:val="4D4D4D"/>
          <w:sz w:val="18"/>
        </w:rPr>
        <w:t xml:space="preserve"> </w:t>
      </w:r>
      <w:r>
        <w:rPr>
          <w:rFonts w:ascii="Arial" w:eastAsia="Arial" w:hAnsi="Arial" w:cs="Arial"/>
          <w:sz w:val="18"/>
        </w:rPr>
        <w:t xml:space="preserve">Fair Isle Primary School, Fife Council, 5403723 </w:t>
      </w:r>
      <w:r>
        <w:rPr>
          <w:rFonts w:ascii="Arial" w:eastAsia="Arial" w:hAnsi="Arial" w:cs="Arial"/>
          <w:sz w:val="18"/>
        </w:rPr>
        <w:tab/>
        <w:t xml:space="preserve">© </w:t>
      </w:r>
      <w:hyperlink r:id="rId6">
        <w:r>
          <w:rPr>
            <w:rFonts w:ascii="Arial" w:eastAsia="Arial" w:hAnsi="Arial" w:cs="Arial"/>
            <w:color w:val="009BAA"/>
            <w:sz w:val="18"/>
            <w:u w:val="single" w:color="009BAA"/>
          </w:rPr>
          <w:t>Crown Copyright</w:t>
        </w:r>
      </w:hyperlink>
      <w:hyperlink r:id="rId7">
        <w:r>
          <w:rPr>
            <w:rFonts w:ascii="Arial" w:eastAsia="Arial" w:hAnsi="Arial" w:cs="Arial"/>
            <w:sz w:val="18"/>
          </w:rPr>
          <w:t xml:space="preserve"> </w:t>
        </w:r>
      </w:hyperlink>
    </w:p>
    <w:p w14:paraId="12E2C7FA" w14:textId="77777777" w:rsidR="008B18E0" w:rsidRDefault="00000000">
      <w:pPr>
        <w:tabs>
          <w:tab w:val="center" w:pos="4326"/>
        </w:tabs>
        <w:spacing w:after="3"/>
      </w:pPr>
      <w:r>
        <w:rPr>
          <w:rFonts w:ascii="Arial" w:eastAsia="Arial" w:hAnsi="Arial" w:cs="Arial"/>
          <w:color w:val="595959"/>
          <w:sz w:val="24"/>
        </w:rPr>
        <w:t xml:space="preserve"> </w:t>
      </w:r>
      <w:r>
        <w:rPr>
          <w:noProof/>
        </w:rPr>
        <w:drawing>
          <wp:inline distT="0" distB="0" distL="0" distR="0" wp14:anchorId="1AE601DB" wp14:editId="04E1E017">
            <wp:extent cx="1976120" cy="790448"/>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
                    <a:stretch>
                      <a:fillRect/>
                    </a:stretch>
                  </pic:blipFill>
                  <pic:spPr>
                    <a:xfrm>
                      <a:off x="0" y="0"/>
                      <a:ext cx="1976120" cy="790448"/>
                    </a:xfrm>
                    <a:prstGeom prst="rect">
                      <a:avLst/>
                    </a:prstGeom>
                  </pic:spPr>
                </pic:pic>
              </a:graphicData>
            </a:graphic>
          </wp:inline>
        </w:drawing>
      </w:r>
      <w:r>
        <w:rPr>
          <w:rFonts w:ascii="Arial" w:eastAsia="Arial" w:hAnsi="Arial" w:cs="Arial"/>
          <w:color w:val="595959"/>
          <w:sz w:val="24"/>
        </w:rPr>
        <w:tab/>
        <w:t xml:space="preserve"> </w:t>
      </w:r>
    </w:p>
    <w:p w14:paraId="211E7AB1" w14:textId="77777777" w:rsidR="008B18E0" w:rsidRDefault="00000000">
      <w:pPr>
        <w:spacing w:after="0"/>
      </w:pPr>
      <w:r>
        <w:rPr>
          <w:rFonts w:ascii="Arial" w:eastAsia="Arial" w:hAnsi="Arial" w:cs="Arial"/>
          <w:color w:val="595959"/>
          <w:sz w:val="24"/>
        </w:rPr>
        <w:t xml:space="preserve"> </w:t>
      </w:r>
      <w:r>
        <w:rPr>
          <w:rFonts w:ascii="Arial" w:eastAsia="Arial" w:hAnsi="Arial" w:cs="Arial"/>
          <w:color w:val="595959"/>
          <w:sz w:val="24"/>
        </w:rPr>
        <w:tab/>
        <w:t xml:space="preserve"> </w:t>
      </w:r>
    </w:p>
    <w:p w14:paraId="2955ACF9" w14:textId="77777777" w:rsidR="008B18E0" w:rsidRDefault="00000000">
      <w:pPr>
        <w:spacing w:after="1" w:line="243" w:lineRule="auto"/>
        <w:ind w:left="-15" w:right="250"/>
        <w:jc w:val="both"/>
      </w:pPr>
      <w:r>
        <w:rPr>
          <w:rFonts w:ascii="Arial" w:eastAsia="Arial" w:hAnsi="Arial" w:cs="Arial"/>
          <w:sz w:val="24"/>
        </w:rPr>
        <w:t xml:space="preserve">We gathered evidence to enable us to evaluate the school’s work using quality indicators from </w:t>
      </w:r>
      <w:hyperlink r:id="rId8">
        <w:r>
          <w:rPr>
            <w:rFonts w:ascii="Arial" w:eastAsia="Arial" w:hAnsi="Arial" w:cs="Arial"/>
            <w:color w:val="009BAA"/>
            <w:sz w:val="24"/>
            <w:u w:val="single" w:color="009BAA"/>
          </w:rPr>
          <w:t>How good is our school? (4</w:t>
        </w:r>
      </w:hyperlink>
      <w:hyperlink r:id="rId9">
        <w:r>
          <w:rPr>
            <w:rFonts w:ascii="Arial" w:eastAsia="Arial" w:hAnsi="Arial" w:cs="Arial"/>
            <w:color w:val="009BAA"/>
            <w:sz w:val="24"/>
            <w:vertAlign w:val="superscript"/>
          </w:rPr>
          <w:t>th</w:t>
        </w:r>
      </w:hyperlink>
      <w:hyperlink r:id="rId10">
        <w:r>
          <w:rPr>
            <w:rFonts w:ascii="Arial" w:eastAsia="Arial" w:hAnsi="Arial" w:cs="Arial"/>
            <w:color w:val="009BAA"/>
            <w:sz w:val="24"/>
            <w:u w:val="single" w:color="009BAA"/>
          </w:rPr>
          <w:t xml:space="preserve"> </w:t>
        </w:r>
      </w:hyperlink>
      <w:hyperlink r:id="rId11">
        <w:r>
          <w:rPr>
            <w:rFonts w:ascii="Arial" w:eastAsia="Arial" w:hAnsi="Arial" w:cs="Arial"/>
            <w:color w:val="009BAA"/>
            <w:sz w:val="24"/>
            <w:u w:val="single" w:color="009BAA"/>
          </w:rPr>
          <w:t>edition)</w:t>
        </w:r>
      </w:hyperlink>
      <w:hyperlink r:id="rId12">
        <w:r>
          <w:rPr>
            <w:rFonts w:ascii="Arial" w:eastAsia="Arial" w:hAnsi="Arial" w:cs="Arial"/>
            <w:sz w:val="24"/>
          </w:rPr>
          <w:t>.</w:t>
        </w:r>
      </w:hyperlink>
      <w:hyperlink r:id="rId13">
        <w:r>
          <w:rPr>
            <w:rFonts w:ascii="Arial" w:eastAsia="Arial" w:hAnsi="Arial" w:cs="Arial"/>
            <w:sz w:val="24"/>
          </w:rPr>
          <w:t xml:space="preserve"> </w:t>
        </w:r>
      </w:hyperlink>
      <w:r>
        <w:rPr>
          <w:rFonts w:ascii="Arial" w:eastAsia="Arial" w:hAnsi="Arial" w:cs="Arial"/>
          <w:sz w:val="24"/>
        </w:rPr>
        <w:t xml:space="preserve">Quality indicators help schools, local authorities and inspectors to judge what is working well and what needs to be improved. Following the inspection of each school, the Scottish Government gathers details of our evaluations to keep track of how well Scottish schools are doing. </w:t>
      </w:r>
    </w:p>
    <w:p w14:paraId="56D989AC" w14:textId="77777777" w:rsidR="008B18E0" w:rsidRDefault="00000000">
      <w:pPr>
        <w:spacing w:after="54"/>
      </w:pPr>
      <w:r>
        <w:rPr>
          <w:rFonts w:ascii="Arial" w:eastAsia="Arial" w:hAnsi="Arial" w:cs="Arial"/>
          <w:sz w:val="24"/>
        </w:rPr>
        <w:t xml:space="preserve"> </w:t>
      </w:r>
    </w:p>
    <w:p w14:paraId="728374AE" w14:textId="77777777" w:rsidR="008B18E0" w:rsidRDefault="00000000">
      <w:pPr>
        <w:pStyle w:val="Heading1"/>
      </w:pPr>
      <w:r>
        <w:t xml:space="preserve">Here are Education Scotland’s evaluations for Fair Isle Primary School </w:t>
      </w:r>
    </w:p>
    <w:p w14:paraId="38203850" w14:textId="77777777" w:rsidR="008B18E0" w:rsidRDefault="00000000">
      <w:pPr>
        <w:spacing w:after="0"/>
      </w:pPr>
      <w:r>
        <w:rPr>
          <w:rFonts w:ascii="Arial" w:eastAsia="Arial" w:hAnsi="Arial" w:cs="Arial"/>
          <w:color w:val="009BAA"/>
          <w:sz w:val="24"/>
        </w:rPr>
        <w:t xml:space="preserve"> </w:t>
      </w:r>
    </w:p>
    <w:tbl>
      <w:tblPr>
        <w:tblStyle w:val="TableGrid"/>
        <w:tblW w:w="10102" w:type="dxa"/>
        <w:tblInd w:w="2" w:type="dxa"/>
        <w:tblCellMar>
          <w:top w:w="89" w:type="dxa"/>
          <w:left w:w="110" w:type="dxa"/>
          <w:bottom w:w="0" w:type="dxa"/>
          <w:right w:w="115" w:type="dxa"/>
        </w:tblCellMar>
        <w:tblLook w:val="04A0" w:firstRow="1" w:lastRow="0" w:firstColumn="1" w:lastColumn="0" w:noHBand="0" w:noVBand="1"/>
      </w:tblPr>
      <w:tblGrid>
        <w:gridCol w:w="7328"/>
        <w:gridCol w:w="2774"/>
      </w:tblGrid>
      <w:tr w:rsidR="008B18E0" w14:paraId="54514CFE" w14:textId="77777777">
        <w:trPr>
          <w:trHeight w:val="612"/>
        </w:trPr>
        <w:tc>
          <w:tcPr>
            <w:tcW w:w="7328" w:type="dxa"/>
            <w:tcBorders>
              <w:top w:val="single" w:sz="19" w:space="0" w:color="009BAA"/>
              <w:left w:val="single" w:sz="6" w:space="0" w:color="009BAA"/>
              <w:bottom w:val="single" w:sz="19" w:space="0" w:color="009BAA"/>
              <w:right w:val="single" w:sz="6" w:space="0" w:color="009BAA"/>
            </w:tcBorders>
            <w:shd w:val="clear" w:color="auto" w:fill="009BAA"/>
            <w:vAlign w:val="center"/>
          </w:tcPr>
          <w:p w14:paraId="471D2DB4" w14:textId="77777777" w:rsidR="008B18E0" w:rsidRDefault="00000000">
            <w:pPr>
              <w:spacing w:after="0"/>
            </w:pPr>
            <w:r>
              <w:rPr>
                <w:rFonts w:ascii="Arial" w:eastAsia="Arial" w:hAnsi="Arial" w:cs="Arial"/>
                <w:b/>
                <w:color w:val="FFFFFF"/>
                <w:sz w:val="24"/>
              </w:rPr>
              <w:t xml:space="preserve">Quality indicators </w:t>
            </w:r>
          </w:p>
        </w:tc>
        <w:tc>
          <w:tcPr>
            <w:tcW w:w="2773" w:type="dxa"/>
            <w:tcBorders>
              <w:top w:val="single" w:sz="19" w:space="0" w:color="009BAA"/>
              <w:left w:val="single" w:sz="6" w:space="0" w:color="009BAA"/>
              <w:bottom w:val="single" w:sz="19" w:space="0" w:color="009BAA"/>
              <w:right w:val="single" w:sz="6" w:space="0" w:color="009BAA"/>
            </w:tcBorders>
            <w:shd w:val="clear" w:color="auto" w:fill="009BAA"/>
            <w:vAlign w:val="center"/>
          </w:tcPr>
          <w:p w14:paraId="456F27A9" w14:textId="77777777" w:rsidR="008B18E0" w:rsidRDefault="00000000">
            <w:pPr>
              <w:spacing w:after="0"/>
              <w:ind w:left="170"/>
            </w:pPr>
            <w:r>
              <w:rPr>
                <w:rFonts w:ascii="Arial" w:eastAsia="Arial" w:hAnsi="Arial" w:cs="Arial"/>
                <w:b/>
                <w:color w:val="FFFFFF"/>
                <w:sz w:val="24"/>
              </w:rPr>
              <w:t xml:space="preserve">Evaluation </w:t>
            </w:r>
          </w:p>
        </w:tc>
      </w:tr>
      <w:tr w:rsidR="008B18E0" w14:paraId="236FD65C" w14:textId="77777777">
        <w:trPr>
          <w:trHeight w:val="639"/>
        </w:trPr>
        <w:tc>
          <w:tcPr>
            <w:tcW w:w="7328" w:type="dxa"/>
            <w:tcBorders>
              <w:top w:val="single" w:sz="19" w:space="0" w:color="009BAA"/>
              <w:left w:val="single" w:sz="6" w:space="0" w:color="009BAA"/>
              <w:bottom w:val="single" w:sz="6" w:space="0" w:color="009BAA"/>
              <w:right w:val="single" w:sz="6" w:space="0" w:color="009BAA"/>
            </w:tcBorders>
            <w:vAlign w:val="center"/>
          </w:tcPr>
          <w:p w14:paraId="4E039ADE" w14:textId="77777777" w:rsidR="008B18E0" w:rsidRDefault="00000000">
            <w:pPr>
              <w:spacing w:after="0"/>
            </w:pPr>
            <w:r>
              <w:rPr>
                <w:rFonts w:ascii="Arial" w:eastAsia="Arial" w:hAnsi="Arial" w:cs="Arial"/>
                <w:b/>
                <w:sz w:val="24"/>
              </w:rPr>
              <w:t xml:space="preserve">Learning, teaching and assessment </w:t>
            </w:r>
          </w:p>
        </w:tc>
        <w:tc>
          <w:tcPr>
            <w:tcW w:w="2773" w:type="dxa"/>
            <w:tcBorders>
              <w:top w:val="single" w:sz="19" w:space="0" w:color="009BAA"/>
              <w:left w:val="single" w:sz="6" w:space="0" w:color="009BAA"/>
              <w:bottom w:val="single" w:sz="6" w:space="0" w:color="009BAA"/>
              <w:right w:val="single" w:sz="6" w:space="0" w:color="009BAA"/>
            </w:tcBorders>
            <w:vAlign w:val="center"/>
          </w:tcPr>
          <w:p w14:paraId="7B591461" w14:textId="77777777" w:rsidR="008B18E0" w:rsidRDefault="00000000">
            <w:pPr>
              <w:spacing w:after="0"/>
              <w:ind w:left="170"/>
            </w:pPr>
            <w:r>
              <w:rPr>
                <w:rFonts w:ascii="Arial" w:eastAsia="Arial" w:hAnsi="Arial" w:cs="Arial"/>
                <w:b/>
                <w:sz w:val="24"/>
              </w:rPr>
              <w:t>good</w:t>
            </w:r>
            <w:r>
              <w:rPr>
                <w:rFonts w:ascii="Arial" w:eastAsia="Arial" w:hAnsi="Arial" w:cs="Arial"/>
                <w:color w:val="21EBFF"/>
                <w:sz w:val="24"/>
              </w:rPr>
              <w:t xml:space="preserve"> </w:t>
            </w:r>
          </w:p>
        </w:tc>
      </w:tr>
      <w:tr w:rsidR="008B18E0" w14:paraId="6505A2B7" w14:textId="77777777">
        <w:trPr>
          <w:trHeight w:val="641"/>
        </w:trPr>
        <w:tc>
          <w:tcPr>
            <w:tcW w:w="7328" w:type="dxa"/>
            <w:tcBorders>
              <w:top w:val="single" w:sz="6" w:space="0" w:color="009BAA"/>
              <w:left w:val="single" w:sz="6" w:space="0" w:color="009BAA"/>
              <w:bottom w:val="single" w:sz="6" w:space="0" w:color="009BAA"/>
              <w:right w:val="single" w:sz="6" w:space="0" w:color="009BAA"/>
            </w:tcBorders>
            <w:vAlign w:val="center"/>
          </w:tcPr>
          <w:p w14:paraId="147F4A7C" w14:textId="77777777" w:rsidR="008B18E0" w:rsidRDefault="00000000">
            <w:pPr>
              <w:spacing w:after="0"/>
            </w:pPr>
            <w:r>
              <w:rPr>
                <w:rFonts w:ascii="Arial" w:eastAsia="Arial" w:hAnsi="Arial" w:cs="Arial"/>
                <w:b/>
                <w:sz w:val="24"/>
              </w:rPr>
              <w:t xml:space="preserve">Raising attainment and achievement </w:t>
            </w:r>
          </w:p>
        </w:tc>
        <w:tc>
          <w:tcPr>
            <w:tcW w:w="2773" w:type="dxa"/>
            <w:tcBorders>
              <w:top w:val="single" w:sz="6" w:space="0" w:color="009BAA"/>
              <w:left w:val="single" w:sz="6" w:space="0" w:color="009BAA"/>
              <w:bottom w:val="single" w:sz="6" w:space="0" w:color="009BAA"/>
              <w:right w:val="single" w:sz="6" w:space="0" w:color="009BAA"/>
            </w:tcBorders>
            <w:vAlign w:val="center"/>
          </w:tcPr>
          <w:p w14:paraId="72594053" w14:textId="77777777" w:rsidR="008B18E0" w:rsidRDefault="00000000">
            <w:pPr>
              <w:spacing w:after="0"/>
              <w:ind w:left="170"/>
            </w:pPr>
            <w:r>
              <w:rPr>
                <w:rFonts w:ascii="Arial" w:eastAsia="Arial" w:hAnsi="Arial" w:cs="Arial"/>
                <w:b/>
                <w:sz w:val="24"/>
              </w:rPr>
              <w:t>good</w:t>
            </w:r>
            <w:r>
              <w:rPr>
                <w:rFonts w:ascii="Arial" w:eastAsia="Arial" w:hAnsi="Arial" w:cs="Arial"/>
                <w:color w:val="21EBFF"/>
                <w:sz w:val="24"/>
              </w:rPr>
              <w:t xml:space="preserve"> </w:t>
            </w:r>
          </w:p>
        </w:tc>
      </w:tr>
      <w:tr w:rsidR="008B18E0" w14:paraId="76172A5D" w14:textId="77777777">
        <w:trPr>
          <w:trHeight w:val="624"/>
        </w:trPr>
        <w:tc>
          <w:tcPr>
            <w:tcW w:w="10102" w:type="dxa"/>
            <w:gridSpan w:val="2"/>
            <w:tcBorders>
              <w:top w:val="single" w:sz="6" w:space="0" w:color="009BAA"/>
              <w:left w:val="single" w:sz="6" w:space="0" w:color="009BAA"/>
              <w:bottom w:val="single" w:sz="6" w:space="0" w:color="009BAA"/>
              <w:right w:val="single" w:sz="6" w:space="0" w:color="009BAA"/>
            </w:tcBorders>
          </w:tcPr>
          <w:p w14:paraId="24403C58" w14:textId="77777777" w:rsidR="008B18E0" w:rsidRDefault="00000000">
            <w:pPr>
              <w:spacing w:after="0"/>
            </w:pPr>
            <w:r>
              <w:rPr>
                <w:rFonts w:ascii="Arial" w:eastAsia="Arial" w:hAnsi="Arial" w:cs="Arial"/>
                <w:sz w:val="24"/>
              </w:rPr>
              <w:t xml:space="preserve">Descriptions of the evaluations are available from: </w:t>
            </w:r>
          </w:p>
          <w:p w14:paraId="4F57CB18" w14:textId="77777777" w:rsidR="008B18E0" w:rsidRDefault="00000000">
            <w:pPr>
              <w:spacing w:after="0"/>
            </w:pPr>
            <w:hyperlink r:id="rId14">
              <w:r>
                <w:rPr>
                  <w:rFonts w:ascii="Arial" w:eastAsia="Arial" w:hAnsi="Arial" w:cs="Arial"/>
                  <w:color w:val="009BAA"/>
                  <w:sz w:val="24"/>
                  <w:u w:val="single" w:color="009BAA"/>
                </w:rPr>
                <w:t>How good is our school? (4</w:t>
              </w:r>
            </w:hyperlink>
            <w:hyperlink r:id="rId15">
              <w:r>
                <w:rPr>
                  <w:rFonts w:ascii="Arial" w:eastAsia="Arial" w:hAnsi="Arial" w:cs="Arial"/>
                  <w:color w:val="009BAA"/>
                  <w:sz w:val="24"/>
                  <w:vertAlign w:val="superscript"/>
                </w:rPr>
                <w:t>th</w:t>
              </w:r>
            </w:hyperlink>
            <w:hyperlink r:id="rId16">
              <w:r>
                <w:rPr>
                  <w:rFonts w:ascii="Arial" w:eastAsia="Arial" w:hAnsi="Arial" w:cs="Arial"/>
                  <w:color w:val="009BAA"/>
                  <w:sz w:val="24"/>
                  <w:u w:val="single" w:color="009BAA"/>
                </w:rPr>
                <w:t xml:space="preserve"> </w:t>
              </w:r>
            </w:hyperlink>
            <w:hyperlink r:id="rId17">
              <w:r>
                <w:rPr>
                  <w:rFonts w:ascii="Arial" w:eastAsia="Arial" w:hAnsi="Arial" w:cs="Arial"/>
                  <w:color w:val="009BAA"/>
                  <w:sz w:val="24"/>
                  <w:u w:val="single" w:color="009BAA"/>
                </w:rPr>
                <w:t>edition), Appendix 3: The six</w:t>
              </w:r>
            </w:hyperlink>
            <w:hyperlink r:id="rId18">
              <w:r>
                <w:rPr>
                  <w:rFonts w:ascii="Arial" w:eastAsia="Arial" w:hAnsi="Arial" w:cs="Arial"/>
                  <w:color w:val="009BAA"/>
                  <w:sz w:val="24"/>
                  <w:u w:val="single" w:color="009BAA"/>
                </w:rPr>
                <w:t>-</w:t>
              </w:r>
            </w:hyperlink>
            <w:hyperlink r:id="rId19">
              <w:r>
                <w:rPr>
                  <w:rFonts w:ascii="Arial" w:eastAsia="Arial" w:hAnsi="Arial" w:cs="Arial"/>
                  <w:color w:val="009BAA"/>
                  <w:sz w:val="24"/>
                  <w:u w:val="single" w:color="009BAA"/>
                </w:rPr>
                <w:t>point scale</w:t>
              </w:r>
            </w:hyperlink>
            <w:hyperlink r:id="rId20">
              <w:r>
                <w:rPr>
                  <w:rFonts w:ascii="Arial" w:eastAsia="Arial" w:hAnsi="Arial" w:cs="Arial"/>
                  <w:sz w:val="24"/>
                </w:rPr>
                <w:t xml:space="preserve"> </w:t>
              </w:r>
            </w:hyperlink>
          </w:p>
        </w:tc>
      </w:tr>
    </w:tbl>
    <w:p w14:paraId="71C11909" w14:textId="77777777" w:rsidR="008B18E0" w:rsidRDefault="00000000">
      <w:pPr>
        <w:spacing w:after="0"/>
      </w:pPr>
      <w:r>
        <w:rPr>
          <w:rFonts w:ascii="Arial" w:eastAsia="Arial" w:hAnsi="Arial" w:cs="Arial"/>
          <w:sz w:val="24"/>
        </w:rPr>
        <w:t xml:space="preserve"> </w:t>
      </w:r>
    </w:p>
    <w:p w14:paraId="17EA53CD" w14:textId="77777777" w:rsidR="008B18E0" w:rsidRDefault="00000000">
      <w:pPr>
        <w:spacing w:after="2" w:line="248" w:lineRule="auto"/>
        <w:ind w:left="-5" w:right="17" w:hanging="10"/>
      </w:pPr>
      <w:r>
        <w:rPr>
          <w:rFonts w:ascii="Arial" w:eastAsia="Arial" w:hAnsi="Arial" w:cs="Arial"/>
          <w:sz w:val="24"/>
        </w:rPr>
        <w:t xml:space="preserve">A more detailed document called Summarised Inspection Findings (SIF) will be available on the Education Scotland website at: </w:t>
      </w:r>
      <w:hyperlink r:id="rId21">
        <w:r>
          <w:rPr>
            <w:rFonts w:ascii="Arial" w:eastAsia="Arial" w:hAnsi="Arial" w:cs="Arial"/>
            <w:color w:val="009BAA"/>
            <w:sz w:val="24"/>
            <w:u w:val="single" w:color="009BAA"/>
          </w:rPr>
          <w:t>Fair Isle Primary School | Inspection Report | Education</w:t>
        </w:r>
      </w:hyperlink>
      <w:hyperlink r:id="rId22">
        <w:r>
          <w:rPr>
            <w:rFonts w:ascii="Arial" w:eastAsia="Arial" w:hAnsi="Arial" w:cs="Arial"/>
            <w:color w:val="009BAA"/>
            <w:sz w:val="24"/>
          </w:rPr>
          <w:t xml:space="preserve"> </w:t>
        </w:r>
      </w:hyperlink>
      <w:hyperlink r:id="rId23">
        <w:r>
          <w:rPr>
            <w:rFonts w:ascii="Arial" w:eastAsia="Arial" w:hAnsi="Arial" w:cs="Arial"/>
            <w:color w:val="009BAA"/>
            <w:sz w:val="24"/>
            <w:u w:val="single" w:color="009BAA"/>
          </w:rPr>
          <w:t>Scotland</w:t>
        </w:r>
      </w:hyperlink>
      <w:hyperlink r:id="rId24">
        <w:r>
          <w:rPr>
            <w:rFonts w:ascii="Arial" w:eastAsia="Arial" w:hAnsi="Arial" w:cs="Arial"/>
            <w:sz w:val="24"/>
          </w:rPr>
          <w:t xml:space="preserve"> </w:t>
        </w:r>
      </w:hyperlink>
    </w:p>
    <w:p w14:paraId="139D97BF" w14:textId="77777777" w:rsidR="008B18E0" w:rsidRDefault="00000000">
      <w:pPr>
        <w:spacing w:after="0"/>
      </w:pPr>
      <w:r>
        <w:rPr>
          <w:rFonts w:ascii="Arial" w:eastAsia="Arial" w:hAnsi="Arial" w:cs="Arial"/>
          <w:b/>
          <w:color w:val="009BAA"/>
          <w:sz w:val="24"/>
        </w:rPr>
        <w:t xml:space="preserve"> </w:t>
      </w:r>
    </w:p>
    <w:p w14:paraId="1FD33DAD" w14:textId="77777777" w:rsidR="008B18E0" w:rsidRDefault="00000000">
      <w:pPr>
        <w:spacing w:after="0"/>
      </w:pPr>
      <w:r>
        <w:rPr>
          <w:rFonts w:ascii="Arial" w:eastAsia="Arial" w:hAnsi="Arial" w:cs="Arial"/>
          <w:b/>
          <w:color w:val="009BAA"/>
          <w:sz w:val="24"/>
        </w:rPr>
        <w:t xml:space="preserve"> </w:t>
      </w:r>
    </w:p>
    <w:p w14:paraId="05F1CDAC" w14:textId="77777777" w:rsidR="008B18E0" w:rsidRDefault="00000000">
      <w:pPr>
        <w:spacing w:after="0"/>
      </w:pPr>
      <w:r>
        <w:rPr>
          <w:rFonts w:ascii="Arial" w:eastAsia="Arial" w:hAnsi="Arial" w:cs="Arial"/>
          <w:b/>
          <w:color w:val="009BAA"/>
          <w:sz w:val="24"/>
        </w:rPr>
        <w:t xml:space="preserve">What happens next? </w:t>
      </w:r>
    </w:p>
    <w:p w14:paraId="286BFF53" w14:textId="77777777" w:rsidR="008B18E0" w:rsidRDefault="00000000">
      <w:pPr>
        <w:spacing w:after="0"/>
      </w:pPr>
      <w:r>
        <w:rPr>
          <w:rFonts w:ascii="Arial" w:eastAsia="Arial" w:hAnsi="Arial" w:cs="Arial"/>
          <w:sz w:val="24"/>
        </w:rPr>
        <w:t xml:space="preserve"> </w:t>
      </w:r>
    </w:p>
    <w:p w14:paraId="522EE3B3" w14:textId="77777777" w:rsidR="008B18E0" w:rsidRDefault="00000000">
      <w:pPr>
        <w:spacing w:after="2" w:line="248" w:lineRule="auto"/>
        <w:ind w:left="-5" w:right="17" w:hanging="10"/>
      </w:pPr>
      <w:r>
        <w:rPr>
          <w:rFonts w:ascii="Arial" w:eastAsia="Arial" w:hAnsi="Arial" w:cs="Arial"/>
          <w:sz w:val="24"/>
        </w:rPr>
        <w:t>We are confident that the school has the capacity to continue to improve and so we will make no more visits in connection with this inspection. Fife Council</w:t>
      </w:r>
      <w:r>
        <w:rPr>
          <w:rFonts w:ascii="Arial" w:eastAsia="Arial" w:hAnsi="Arial" w:cs="Arial"/>
          <w:color w:val="595959"/>
          <w:sz w:val="24"/>
        </w:rPr>
        <w:t xml:space="preserve"> </w:t>
      </w:r>
      <w:r>
        <w:rPr>
          <w:rFonts w:ascii="Arial" w:eastAsia="Arial" w:hAnsi="Arial" w:cs="Arial"/>
          <w:sz w:val="24"/>
        </w:rPr>
        <w:t xml:space="preserve">will inform parents/carers about the school’s progress as part of its arrangements for reporting on the quality of its schools. </w:t>
      </w:r>
    </w:p>
    <w:p w14:paraId="6BE22DFB" w14:textId="77777777" w:rsidR="008B18E0" w:rsidRDefault="00000000">
      <w:pPr>
        <w:spacing w:after="0"/>
      </w:pPr>
      <w:r>
        <w:rPr>
          <w:rFonts w:ascii="Arial" w:eastAsia="Arial" w:hAnsi="Arial" w:cs="Arial"/>
          <w:sz w:val="24"/>
        </w:rPr>
        <w:t xml:space="preserve"> </w:t>
      </w:r>
    </w:p>
    <w:p w14:paraId="5F0ADBDC" w14:textId="77777777" w:rsidR="008B18E0" w:rsidRDefault="00000000">
      <w:pPr>
        <w:spacing w:after="0"/>
      </w:pPr>
      <w:r>
        <w:rPr>
          <w:rFonts w:ascii="Arial" w:eastAsia="Arial" w:hAnsi="Arial" w:cs="Arial"/>
          <w:sz w:val="24"/>
        </w:rPr>
        <w:t xml:space="preserve"> </w:t>
      </w:r>
    </w:p>
    <w:p w14:paraId="3EA1737E" w14:textId="77777777" w:rsidR="008B18E0" w:rsidRDefault="00000000">
      <w:pPr>
        <w:spacing w:after="0"/>
      </w:pPr>
      <w:r>
        <w:rPr>
          <w:rFonts w:ascii="Arial" w:eastAsia="Arial" w:hAnsi="Arial" w:cs="Arial"/>
          <w:sz w:val="24"/>
        </w:rPr>
        <w:t xml:space="preserve"> </w:t>
      </w:r>
    </w:p>
    <w:p w14:paraId="52D88A2E" w14:textId="77777777" w:rsidR="008B18E0" w:rsidRDefault="00000000">
      <w:pPr>
        <w:spacing w:after="2" w:line="248" w:lineRule="auto"/>
        <w:ind w:left="-5" w:right="17" w:hanging="10"/>
      </w:pPr>
      <w:r>
        <w:rPr>
          <w:rFonts w:ascii="Arial" w:eastAsia="Arial" w:hAnsi="Arial" w:cs="Arial"/>
          <w:sz w:val="24"/>
        </w:rPr>
        <w:t xml:space="preserve">Liz Sommerville </w:t>
      </w:r>
    </w:p>
    <w:p w14:paraId="5839E5A5" w14:textId="77777777" w:rsidR="008B18E0" w:rsidRDefault="00000000">
      <w:pPr>
        <w:spacing w:after="2" w:line="248" w:lineRule="auto"/>
        <w:ind w:left="-5" w:right="17" w:hanging="10"/>
      </w:pPr>
      <w:r>
        <w:rPr>
          <w:rFonts w:ascii="Arial" w:eastAsia="Arial" w:hAnsi="Arial" w:cs="Arial"/>
          <w:sz w:val="24"/>
        </w:rPr>
        <w:t xml:space="preserve">HM Inspector </w:t>
      </w:r>
    </w:p>
    <w:p w14:paraId="402BCA1A" w14:textId="77777777" w:rsidR="008B18E0" w:rsidRDefault="00000000">
      <w:pPr>
        <w:spacing w:after="0"/>
      </w:pPr>
      <w:r>
        <w:rPr>
          <w:rFonts w:ascii="Arial" w:eastAsia="Arial" w:hAnsi="Arial" w:cs="Arial"/>
          <w:sz w:val="24"/>
        </w:rPr>
        <w:t xml:space="preserve"> </w:t>
      </w:r>
    </w:p>
    <w:p w14:paraId="6AF51525" w14:textId="77777777" w:rsidR="008B18E0" w:rsidRDefault="00000000">
      <w:pPr>
        <w:spacing w:after="3770"/>
      </w:pPr>
      <w:r>
        <w:rPr>
          <w:rFonts w:ascii="Arial" w:eastAsia="Arial" w:hAnsi="Arial" w:cs="Arial"/>
          <w:sz w:val="24"/>
        </w:rPr>
        <w:t xml:space="preserve"> </w:t>
      </w:r>
    </w:p>
    <w:p w14:paraId="57391424" w14:textId="77777777" w:rsidR="008B18E0" w:rsidRDefault="00000000">
      <w:pPr>
        <w:spacing w:after="0"/>
        <w:ind w:right="-11"/>
      </w:pPr>
      <w:r>
        <w:rPr>
          <w:rFonts w:ascii="Arial" w:eastAsia="Arial" w:hAnsi="Arial" w:cs="Arial"/>
          <w:color w:val="595959"/>
          <w:sz w:val="24"/>
        </w:rPr>
        <w:lastRenderedPageBreak/>
        <w:t xml:space="preserve"> </w:t>
      </w:r>
      <w:r>
        <w:rPr>
          <w:noProof/>
        </w:rPr>
        <mc:AlternateContent>
          <mc:Choice Requires="wpg">
            <w:drawing>
              <wp:inline distT="0" distB="0" distL="0" distR="0" wp14:anchorId="685E884D" wp14:editId="0D9FE9C9">
                <wp:extent cx="6459856" cy="9525"/>
                <wp:effectExtent l="0" t="0" r="0" b="0"/>
                <wp:docPr id="2343" name="Group 2343"/>
                <wp:cNvGraphicFramePr/>
                <a:graphic xmlns:a="http://schemas.openxmlformats.org/drawingml/2006/main">
                  <a:graphicData uri="http://schemas.microsoft.com/office/word/2010/wordprocessingGroup">
                    <wpg:wgp>
                      <wpg:cNvGrpSpPr/>
                      <wpg:grpSpPr>
                        <a:xfrm>
                          <a:off x="0" y="0"/>
                          <a:ext cx="6459856" cy="9525"/>
                          <a:chOff x="0" y="0"/>
                          <a:chExt cx="6459856" cy="9525"/>
                        </a:xfrm>
                      </wpg:grpSpPr>
                      <wps:wsp>
                        <wps:cNvPr id="179" name="Shape 179"/>
                        <wps:cNvSpPr/>
                        <wps:spPr>
                          <a:xfrm>
                            <a:off x="0" y="0"/>
                            <a:ext cx="6459856" cy="0"/>
                          </a:xfrm>
                          <a:custGeom>
                            <a:avLst/>
                            <a:gdLst/>
                            <a:ahLst/>
                            <a:cxnLst/>
                            <a:rect l="0" t="0" r="0" b="0"/>
                            <a:pathLst>
                              <a:path w="6459856">
                                <a:moveTo>
                                  <a:pt x="0" y="0"/>
                                </a:moveTo>
                                <a:lnTo>
                                  <a:pt x="6459856" y="0"/>
                                </a:lnTo>
                              </a:path>
                            </a:pathLst>
                          </a:custGeom>
                          <a:ln w="9525" cap="flat">
                            <a:round/>
                          </a:ln>
                        </wps:spPr>
                        <wps:style>
                          <a:lnRef idx="1">
                            <a:srgbClr val="B3D23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43" style="width:508.65pt;height:0.75pt;mso-position-horizontal-relative:char;mso-position-vertical-relative:line" coordsize="64598,95">
                <v:shape id="Shape 179" style="position:absolute;width:64598;height:0;left:0;top:0;" coordsize="6459856,0" path="m0,0l6459856,0">
                  <v:stroke weight="0.75pt" endcap="flat" joinstyle="round" on="true" color="#b3d236"/>
                  <v:fill on="false" color="#000000" opacity="0"/>
                </v:shape>
              </v:group>
            </w:pict>
          </mc:Fallback>
        </mc:AlternateContent>
      </w:r>
    </w:p>
    <w:p w14:paraId="43C691E7" w14:textId="77777777" w:rsidR="008B18E0" w:rsidRDefault="00000000">
      <w:pPr>
        <w:tabs>
          <w:tab w:val="right" w:pos="10218"/>
        </w:tabs>
        <w:spacing w:after="422"/>
        <w:ind w:left="-15" w:right="-15"/>
      </w:pPr>
      <w:r>
        <w:rPr>
          <w:rFonts w:ascii="Arial" w:eastAsia="Arial" w:hAnsi="Arial" w:cs="Arial"/>
          <w:sz w:val="18"/>
        </w:rPr>
        <w:t xml:space="preserve">2   |   </w:t>
      </w:r>
      <w:r>
        <w:rPr>
          <w:rFonts w:ascii="Arial" w:eastAsia="Arial" w:hAnsi="Arial" w:cs="Arial"/>
          <w:color w:val="4D4D4D"/>
          <w:sz w:val="18"/>
        </w:rPr>
        <w:t xml:space="preserve"> </w:t>
      </w:r>
      <w:r>
        <w:rPr>
          <w:rFonts w:ascii="Arial" w:eastAsia="Arial" w:hAnsi="Arial" w:cs="Arial"/>
          <w:sz w:val="18"/>
        </w:rPr>
        <w:t xml:space="preserve">Fair Isle Primary School, Fife Council, 5403723 </w:t>
      </w:r>
      <w:r>
        <w:rPr>
          <w:rFonts w:ascii="Arial" w:eastAsia="Arial" w:hAnsi="Arial" w:cs="Arial"/>
          <w:sz w:val="18"/>
        </w:rPr>
        <w:tab/>
        <w:t xml:space="preserve">© </w:t>
      </w:r>
      <w:hyperlink r:id="rId25">
        <w:r>
          <w:rPr>
            <w:rFonts w:ascii="Arial" w:eastAsia="Arial" w:hAnsi="Arial" w:cs="Arial"/>
            <w:color w:val="009BAA"/>
            <w:sz w:val="18"/>
            <w:u w:val="single" w:color="009BAA"/>
          </w:rPr>
          <w:t>Crown Copyright</w:t>
        </w:r>
      </w:hyperlink>
      <w:hyperlink r:id="rId26">
        <w:r>
          <w:rPr>
            <w:rFonts w:ascii="Arial" w:eastAsia="Arial" w:hAnsi="Arial" w:cs="Arial"/>
            <w:sz w:val="18"/>
          </w:rPr>
          <w:t xml:space="preserve"> </w:t>
        </w:r>
      </w:hyperlink>
    </w:p>
    <w:sectPr w:rsidR="008B18E0">
      <w:pgSz w:w="11904" w:h="16848"/>
      <w:pgMar w:top="291" w:right="837" w:bottom="844" w:left="8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E1A00"/>
    <w:multiLevelType w:val="hybridMultilevel"/>
    <w:tmpl w:val="BA8ACC12"/>
    <w:lvl w:ilvl="0" w:tplc="5254CE96">
      <w:start w:val="1"/>
      <w:numFmt w:val="bullet"/>
      <w:lvlText w:val="•"/>
      <w:lvlJc w:val="left"/>
      <w:pPr>
        <w:ind w:left="353"/>
      </w:pPr>
      <w:rPr>
        <w:rFonts w:ascii="Arial" w:eastAsia="Arial" w:hAnsi="Arial" w:cs="Arial"/>
        <w:b w:val="0"/>
        <w:i w:val="0"/>
        <w:strike w:val="0"/>
        <w:dstrike w:val="0"/>
        <w:color w:val="009BAA"/>
        <w:sz w:val="24"/>
        <w:szCs w:val="24"/>
        <w:u w:val="none" w:color="000000"/>
        <w:bdr w:val="none" w:sz="0" w:space="0" w:color="auto"/>
        <w:shd w:val="clear" w:color="auto" w:fill="auto"/>
        <w:vertAlign w:val="baseline"/>
      </w:rPr>
    </w:lvl>
    <w:lvl w:ilvl="1" w:tplc="FDFC3106">
      <w:start w:val="1"/>
      <w:numFmt w:val="bullet"/>
      <w:lvlText w:val="o"/>
      <w:lvlJc w:val="left"/>
      <w:pPr>
        <w:ind w:left="1080"/>
      </w:pPr>
      <w:rPr>
        <w:rFonts w:ascii="Segoe UI Symbol" w:eastAsia="Segoe UI Symbol" w:hAnsi="Segoe UI Symbol" w:cs="Segoe UI Symbol"/>
        <w:b w:val="0"/>
        <w:i w:val="0"/>
        <w:strike w:val="0"/>
        <w:dstrike w:val="0"/>
        <w:color w:val="009BAA"/>
        <w:sz w:val="24"/>
        <w:szCs w:val="24"/>
        <w:u w:val="none" w:color="000000"/>
        <w:bdr w:val="none" w:sz="0" w:space="0" w:color="auto"/>
        <w:shd w:val="clear" w:color="auto" w:fill="auto"/>
        <w:vertAlign w:val="baseline"/>
      </w:rPr>
    </w:lvl>
    <w:lvl w:ilvl="2" w:tplc="0AFCC56C">
      <w:start w:val="1"/>
      <w:numFmt w:val="bullet"/>
      <w:lvlText w:val="▪"/>
      <w:lvlJc w:val="left"/>
      <w:pPr>
        <w:ind w:left="1800"/>
      </w:pPr>
      <w:rPr>
        <w:rFonts w:ascii="Segoe UI Symbol" w:eastAsia="Segoe UI Symbol" w:hAnsi="Segoe UI Symbol" w:cs="Segoe UI Symbol"/>
        <w:b w:val="0"/>
        <w:i w:val="0"/>
        <w:strike w:val="0"/>
        <w:dstrike w:val="0"/>
        <w:color w:val="009BAA"/>
        <w:sz w:val="24"/>
        <w:szCs w:val="24"/>
        <w:u w:val="none" w:color="000000"/>
        <w:bdr w:val="none" w:sz="0" w:space="0" w:color="auto"/>
        <w:shd w:val="clear" w:color="auto" w:fill="auto"/>
        <w:vertAlign w:val="baseline"/>
      </w:rPr>
    </w:lvl>
    <w:lvl w:ilvl="3" w:tplc="7AFE0074">
      <w:start w:val="1"/>
      <w:numFmt w:val="bullet"/>
      <w:lvlText w:val="•"/>
      <w:lvlJc w:val="left"/>
      <w:pPr>
        <w:ind w:left="2520"/>
      </w:pPr>
      <w:rPr>
        <w:rFonts w:ascii="Arial" w:eastAsia="Arial" w:hAnsi="Arial" w:cs="Arial"/>
        <w:b w:val="0"/>
        <w:i w:val="0"/>
        <w:strike w:val="0"/>
        <w:dstrike w:val="0"/>
        <w:color w:val="009BAA"/>
        <w:sz w:val="24"/>
        <w:szCs w:val="24"/>
        <w:u w:val="none" w:color="000000"/>
        <w:bdr w:val="none" w:sz="0" w:space="0" w:color="auto"/>
        <w:shd w:val="clear" w:color="auto" w:fill="auto"/>
        <w:vertAlign w:val="baseline"/>
      </w:rPr>
    </w:lvl>
    <w:lvl w:ilvl="4" w:tplc="C7E2BBC2">
      <w:start w:val="1"/>
      <w:numFmt w:val="bullet"/>
      <w:lvlText w:val="o"/>
      <w:lvlJc w:val="left"/>
      <w:pPr>
        <w:ind w:left="3240"/>
      </w:pPr>
      <w:rPr>
        <w:rFonts w:ascii="Segoe UI Symbol" w:eastAsia="Segoe UI Symbol" w:hAnsi="Segoe UI Symbol" w:cs="Segoe UI Symbol"/>
        <w:b w:val="0"/>
        <w:i w:val="0"/>
        <w:strike w:val="0"/>
        <w:dstrike w:val="0"/>
        <w:color w:val="009BAA"/>
        <w:sz w:val="24"/>
        <w:szCs w:val="24"/>
        <w:u w:val="none" w:color="000000"/>
        <w:bdr w:val="none" w:sz="0" w:space="0" w:color="auto"/>
        <w:shd w:val="clear" w:color="auto" w:fill="auto"/>
        <w:vertAlign w:val="baseline"/>
      </w:rPr>
    </w:lvl>
    <w:lvl w:ilvl="5" w:tplc="7D7C9C16">
      <w:start w:val="1"/>
      <w:numFmt w:val="bullet"/>
      <w:lvlText w:val="▪"/>
      <w:lvlJc w:val="left"/>
      <w:pPr>
        <w:ind w:left="3960"/>
      </w:pPr>
      <w:rPr>
        <w:rFonts w:ascii="Segoe UI Symbol" w:eastAsia="Segoe UI Symbol" w:hAnsi="Segoe UI Symbol" w:cs="Segoe UI Symbol"/>
        <w:b w:val="0"/>
        <w:i w:val="0"/>
        <w:strike w:val="0"/>
        <w:dstrike w:val="0"/>
        <w:color w:val="009BAA"/>
        <w:sz w:val="24"/>
        <w:szCs w:val="24"/>
        <w:u w:val="none" w:color="000000"/>
        <w:bdr w:val="none" w:sz="0" w:space="0" w:color="auto"/>
        <w:shd w:val="clear" w:color="auto" w:fill="auto"/>
        <w:vertAlign w:val="baseline"/>
      </w:rPr>
    </w:lvl>
    <w:lvl w:ilvl="6" w:tplc="933E6020">
      <w:start w:val="1"/>
      <w:numFmt w:val="bullet"/>
      <w:lvlText w:val="•"/>
      <w:lvlJc w:val="left"/>
      <w:pPr>
        <w:ind w:left="4680"/>
      </w:pPr>
      <w:rPr>
        <w:rFonts w:ascii="Arial" w:eastAsia="Arial" w:hAnsi="Arial" w:cs="Arial"/>
        <w:b w:val="0"/>
        <w:i w:val="0"/>
        <w:strike w:val="0"/>
        <w:dstrike w:val="0"/>
        <w:color w:val="009BAA"/>
        <w:sz w:val="24"/>
        <w:szCs w:val="24"/>
        <w:u w:val="none" w:color="000000"/>
        <w:bdr w:val="none" w:sz="0" w:space="0" w:color="auto"/>
        <w:shd w:val="clear" w:color="auto" w:fill="auto"/>
        <w:vertAlign w:val="baseline"/>
      </w:rPr>
    </w:lvl>
    <w:lvl w:ilvl="7" w:tplc="038A32E2">
      <w:start w:val="1"/>
      <w:numFmt w:val="bullet"/>
      <w:lvlText w:val="o"/>
      <w:lvlJc w:val="left"/>
      <w:pPr>
        <w:ind w:left="5400"/>
      </w:pPr>
      <w:rPr>
        <w:rFonts w:ascii="Segoe UI Symbol" w:eastAsia="Segoe UI Symbol" w:hAnsi="Segoe UI Symbol" w:cs="Segoe UI Symbol"/>
        <w:b w:val="0"/>
        <w:i w:val="0"/>
        <w:strike w:val="0"/>
        <w:dstrike w:val="0"/>
        <w:color w:val="009BAA"/>
        <w:sz w:val="24"/>
        <w:szCs w:val="24"/>
        <w:u w:val="none" w:color="000000"/>
        <w:bdr w:val="none" w:sz="0" w:space="0" w:color="auto"/>
        <w:shd w:val="clear" w:color="auto" w:fill="auto"/>
        <w:vertAlign w:val="baseline"/>
      </w:rPr>
    </w:lvl>
    <w:lvl w:ilvl="8" w:tplc="8B2A4C74">
      <w:start w:val="1"/>
      <w:numFmt w:val="bullet"/>
      <w:lvlText w:val="▪"/>
      <w:lvlJc w:val="left"/>
      <w:pPr>
        <w:ind w:left="6120"/>
      </w:pPr>
      <w:rPr>
        <w:rFonts w:ascii="Segoe UI Symbol" w:eastAsia="Segoe UI Symbol" w:hAnsi="Segoe UI Symbol" w:cs="Segoe UI Symbol"/>
        <w:b w:val="0"/>
        <w:i w:val="0"/>
        <w:strike w:val="0"/>
        <w:dstrike w:val="0"/>
        <w:color w:val="009BAA"/>
        <w:sz w:val="24"/>
        <w:szCs w:val="24"/>
        <w:u w:val="none" w:color="000000"/>
        <w:bdr w:val="none" w:sz="0" w:space="0" w:color="auto"/>
        <w:shd w:val="clear" w:color="auto" w:fill="auto"/>
        <w:vertAlign w:val="baseline"/>
      </w:rPr>
    </w:lvl>
  </w:abstractNum>
  <w:num w:numId="1" w16cid:durableId="83954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E0"/>
    <w:rsid w:val="00043754"/>
    <w:rsid w:val="008B18E0"/>
    <w:rsid w:val="0090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E71C"/>
  <w15:docId w15:val="{CD27C1DA-BDFE-4D3D-BEAF-543AD809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color w:val="009BA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9BAA"/>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ucation.gov.scot/inspection-and-review/inspection-frameworks/how-good-is-our-school-fourth-edition-hgios-4/" TargetMode="External"/><Relationship Id="rId13" Type="http://schemas.openxmlformats.org/officeDocument/2006/relationships/hyperlink" Target="https://education.gov.scot/inspection-and-review/inspection-frameworks/how-good-is-our-school-fourth-edition-hgios-4/" TargetMode="External"/><Relationship Id="rId18" Type="http://schemas.openxmlformats.org/officeDocument/2006/relationships/hyperlink" Target="https://education.gov.scot/inspection-and-review/inspection-frameworks/how-good-is-our-school-fourth-edition-hgios-4/" TargetMode="External"/><Relationship Id="rId26" Type="http://schemas.openxmlformats.org/officeDocument/2006/relationships/hyperlink" Target="https://education.gov.scot/terms-of-use" TargetMode="External"/><Relationship Id="rId3" Type="http://schemas.openxmlformats.org/officeDocument/2006/relationships/settings" Target="settings.xml"/><Relationship Id="rId21" Type="http://schemas.openxmlformats.org/officeDocument/2006/relationships/hyperlink" Target="https://education.gov.scot/inspection-and-review/find-an-inspection-report/find-an-inspection-report/details?id=2547" TargetMode="External"/><Relationship Id="rId7" Type="http://schemas.openxmlformats.org/officeDocument/2006/relationships/hyperlink" Target="https://education.gov.scot/terms-of-use" TargetMode="External"/><Relationship Id="rId12" Type="http://schemas.openxmlformats.org/officeDocument/2006/relationships/hyperlink" Target="https://education.gov.scot/inspection-and-review/inspection-frameworks/how-good-is-our-school-fourth-edition-hgios-4/" TargetMode="External"/><Relationship Id="rId17" Type="http://schemas.openxmlformats.org/officeDocument/2006/relationships/hyperlink" Target="https://education.gov.scot/inspection-and-review/inspection-frameworks/how-good-is-our-school-fourth-edition-hgios-4/" TargetMode="External"/><Relationship Id="rId25" Type="http://schemas.openxmlformats.org/officeDocument/2006/relationships/hyperlink" Target="https://education.gov.scot/terms-of-use" TargetMode="External"/><Relationship Id="rId2" Type="http://schemas.openxmlformats.org/officeDocument/2006/relationships/styles" Target="styles.xml"/><Relationship Id="rId16" Type="http://schemas.openxmlformats.org/officeDocument/2006/relationships/hyperlink" Target="https://education.gov.scot/inspection-and-review/inspection-frameworks/how-good-is-our-school-fourth-edition-hgios-4/" TargetMode="External"/><Relationship Id="rId20" Type="http://schemas.openxmlformats.org/officeDocument/2006/relationships/hyperlink" Target="https://education.gov.scot/inspection-and-review/inspection-frameworks/how-good-is-our-school-fourth-edition-hgios-4/" TargetMode="External"/><Relationship Id="rId1" Type="http://schemas.openxmlformats.org/officeDocument/2006/relationships/numbering" Target="numbering.xml"/><Relationship Id="rId6" Type="http://schemas.openxmlformats.org/officeDocument/2006/relationships/hyperlink" Target="https://education.gov.scot/terms-of-use" TargetMode="External"/><Relationship Id="rId11" Type="http://schemas.openxmlformats.org/officeDocument/2006/relationships/hyperlink" Target="https://education.gov.scot/inspection-and-review/inspection-frameworks/how-good-is-our-school-fourth-edition-hgios-4/" TargetMode="External"/><Relationship Id="rId24" Type="http://schemas.openxmlformats.org/officeDocument/2006/relationships/hyperlink" Target="https://education.gov.scot/inspection-and-review/find-an-inspection-report/find-an-inspection-report/details?id=2547" TargetMode="External"/><Relationship Id="rId5" Type="http://schemas.openxmlformats.org/officeDocument/2006/relationships/image" Target="media/image1.jpg"/><Relationship Id="rId15" Type="http://schemas.openxmlformats.org/officeDocument/2006/relationships/hyperlink" Target="https://education.gov.scot/inspection-and-review/inspection-frameworks/how-good-is-our-school-fourth-edition-hgios-4/" TargetMode="External"/><Relationship Id="rId23" Type="http://schemas.openxmlformats.org/officeDocument/2006/relationships/hyperlink" Target="https://education.gov.scot/inspection-and-review/find-an-inspection-report/find-an-inspection-report/details?id=2547" TargetMode="External"/><Relationship Id="rId28" Type="http://schemas.openxmlformats.org/officeDocument/2006/relationships/theme" Target="theme/theme1.xml"/><Relationship Id="rId10" Type="http://schemas.openxmlformats.org/officeDocument/2006/relationships/hyperlink" Target="https://education.gov.scot/inspection-and-review/inspection-frameworks/how-good-is-our-school-fourth-edition-hgios-4/" TargetMode="External"/><Relationship Id="rId19" Type="http://schemas.openxmlformats.org/officeDocument/2006/relationships/hyperlink" Target="https://education.gov.scot/inspection-and-review/inspection-frameworks/how-good-is-our-school-fourth-edition-hgios-4/" TargetMode="External"/><Relationship Id="rId4" Type="http://schemas.openxmlformats.org/officeDocument/2006/relationships/webSettings" Target="webSettings.xml"/><Relationship Id="rId9" Type="http://schemas.openxmlformats.org/officeDocument/2006/relationships/hyperlink" Target="https://education.gov.scot/inspection-and-review/inspection-frameworks/how-good-is-our-school-fourth-edition-hgios-4/" TargetMode="External"/><Relationship Id="rId14" Type="http://schemas.openxmlformats.org/officeDocument/2006/relationships/hyperlink" Target="https://education.gov.scot/inspection-and-review/inspection-frameworks/how-good-is-our-school-fourth-edition-hgios-4/" TargetMode="External"/><Relationship Id="rId22" Type="http://schemas.openxmlformats.org/officeDocument/2006/relationships/hyperlink" Target="https://education.gov.scot/inspection-and-review/find-an-inspection-report/find-an-inspection-report/details?id=254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u209829</dc:creator>
  <cp:keywords/>
  <cp:lastModifiedBy>Lesley Mackay-FI</cp:lastModifiedBy>
  <cp:revision>2</cp:revision>
  <dcterms:created xsi:type="dcterms:W3CDTF">2025-09-25T09:21:00Z</dcterms:created>
  <dcterms:modified xsi:type="dcterms:W3CDTF">2025-09-25T09:21:00Z</dcterms:modified>
</cp:coreProperties>
</file>