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966F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 xml:space="preserve">Interdisciplinary Learning Plan 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B97314">
        <w:rPr>
          <w:rFonts w:ascii="Arial" w:hAnsi="Arial" w:cs="Arial"/>
          <w:b/>
        </w:rPr>
        <w:t>3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B97314">
        <w:rPr>
          <w:rFonts w:ascii="Arial" w:hAnsi="Arial" w:cs="Arial"/>
          <w:b/>
        </w:rPr>
        <w:t>Connect with culture and Heritage (local to global)</w:t>
      </w:r>
      <w:r w:rsidR="00361E4B">
        <w:rPr>
          <w:rFonts w:ascii="Arial" w:hAnsi="Arial" w:cs="Arial"/>
          <w:b/>
        </w:rPr>
        <w:t xml:space="preserve">     </w:t>
      </w:r>
      <w:r w:rsidR="00FA2CC7">
        <w:rPr>
          <w:rFonts w:ascii="Arial" w:hAnsi="Arial" w:cs="Arial"/>
          <w:b/>
        </w:rPr>
        <w:t xml:space="preserve">            </w:t>
      </w:r>
      <w:r w:rsidR="00361E4B">
        <w:rPr>
          <w:rFonts w:ascii="Arial" w:hAnsi="Arial" w:cs="Arial"/>
          <w:b/>
        </w:rPr>
        <w:t xml:space="preserve">    </w:t>
      </w:r>
      <w:r w:rsidR="005E5C64">
        <w:rPr>
          <w:rFonts w:ascii="Arial" w:hAnsi="Arial" w:cs="Arial"/>
          <w:b/>
        </w:rPr>
        <w:t xml:space="preserve"> 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0A2C24" w:rsidRPr="000500F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D3DFB">
        <w:rPr>
          <w:rFonts w:ascii="Arial" w:hAnsi="Arial" w:cs="Arial"/>
          <w:b/>
        </w:rPr>
        <w:t>Primary 5 - 7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923277" w:rsidRPr="00944619" w:rsidTr="00515E99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944619" w:rsidRDefault="00726180" w:rsidP="00BE4D78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3399"/>
              </w:rPr>
              <w:t>Social Studies</w:t>
            </w:r>
          </w:p>
        </w:tc>
        <w:tc>
          <w:tcPr>
            <w:tcW w:w="4057" w:type="dxa"/>
            <w:gridSpan w:val="2"/>
          </w:tcPr>
          <w:p w:rsidR="004C4408" w:rsidRPr="004C4408" w:rsidRDefault="00726180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 w:rsidRPr="004C4408">
              <w:rPr>
                <w:rFonts w:ascii="Arial" w:hAnsi="Arial" w:cs="Arial"/>
              </w:rPr>
              <w:t>he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923277" w:rsidRPr="00944619" w:rsidTr="00726180">
        <w:trPr>
          <w:trHeight w:val="801"/>
        </w:trPr>
        <w:tc>
          <w:tcPr>
            <w:tcW w:w="8992" w:type="dxa"/>
            <w:gridSpan w:val="3"/>
          </w:tcPr>
          <w:p w:rsidR="00726180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4C4408" w:rsidRPr="00944619" w:rsidRDefault="00726180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4C4408">
              <w:rPr>
                <w:rFonts w:ascii="Arial" w:hAnsi="Arial" w:cs="Arial"/>
              </w:rPr>
              <w:t>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9CC2E5" w:themeFill="accent1" w:themeFillTint="99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C14D88" w:rsidRPr="00944619" w:rsidRDefault="00C14D88" w:rsidP="00C14D88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44082B">
              <w:rPr>
                <w:rFonts w:ascii="Arial" w:hAnsi="Arial" w:cs="Arial"/>
              </w:rPr>
              <w:t>discussing controversial issues, addressing discrimination and prejudice, peace and conflict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923277" w:rsidRPr="00944619" w:rsidTr="00726180">
        <w:trPr>
          <w:trHeight w:val="1682"/>
        </w:trPr>
        <w:tc>
          <w:tcPr>
            <w:tcW w:w="8992" w:type="dxa"/>
            <w:gridSpan w:val="3"/>
          </w:tcPr>
          <w:p w:rsidR="00B55886" w:rsidRDefault="00923277" w:rsidP="009232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103505</wp:posOffset>
                  </wp:positionV>
                  <wp:extent cx="5166995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1502" y="20778"/>
                      <wp:lineTo x="2150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99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FB0FDF" w:rsidRPr="004C4408" w:rsidRDefault="00B55886" w:rsidP="00B55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923277"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1" w:rightFromText="181" w:vertAnchor="page" w:horzAnchor="margin" w:tblpY="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701"/>
              <w:gridCol w:w="1701"/>
              <w:gridCol w:w="1559"/>
              <w:gridCol w:w="1559"/>
              <w:gridCol w:w="1559"/>
              <w:gridCol w:w="1560"/>
            </w:tblGrid>
            <w:tr w:rsidR="000045BE" w:rsidRPr="00B55886" w:rsidTr="00CA3F66">
              <w:trPr>
                <w:trHeight w:val="1405"/>
              </w:trPr>
              <w:tc>
                <w:tcPr>
                  <w:tcW w:w="2122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2D0CA77" wp14:editId="6EF3E562">
                        <wp:extent cx="797441" cy="797441"/>
                        <wp:effectExtent l="0" t="0" r="3175" b="317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G3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0336" cy="830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DB3DC9C" wp14:editId="182317D4">
                        <wp:extent cx="803234" cy="808074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DG8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9570" cy="844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1555DA9D" wp14:editId="19B06E29">
                        <wp:extent cx="771416" cy="776176"/>
                        <wp:effectExtent l="0" t="0" r="0" b="508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9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360" cy="810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07EEC6B" wp14:editId="40409053">
                        <wp:extent cx="757158" cy="7759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DG11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6019" cy="80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07ED96A0" wp14:editId="40B81CC4">
                        <wp:extent cx="754911" cy="754911"/>
                        <wp:effectExtent l="0" t="0" r="762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DG14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9915" cy="7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</w:tcPr>
                <w:p w:rsidR="00BE4D78" w:rsidRPr="00B55886" w:rsidRDefault="00BE4D7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2345E39" wp14:editId="5E0F946F">
                        <wp:extent cx="712381" cy="725656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DG15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2951" cy="756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0" w:type="dxa"/>
                </w:tcPr>
                <w:p w:rsidR="00BE4D78" w:rsidRDefault="00BE4D78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>
                        <wp:extent cx="723014" cy="732052"/>
                        <wp:effectExtent l="0" t="0" r="127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SDG17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0396" cy="790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396A21" w:rsidRPr="006C5F50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Social studies – People, past events and societies</w:t>
            </w:r>
          </w:p>
          <w:p w:rsidR="00396A21" w:rsidRDefault="00A251BF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interpret historical evidence from a range of periods to help to build a picture of Scotland’s heritage and my sense of chronology</w:t>
            </w:r>
            <w:r w:rsidR="00396A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</w:t>
            </w:r>
            <w:r w:rsidR="00396A21"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-02a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="00A251BF">
              <w:rPr>
                <w:rFonts w:ascii="Arial" w:hAnsi="Arial" w:cs="Arial"/>
                <w:color w:val="000000" w:themeColor="text1"/>
                <w:sz w:val="20"/>
                <w:szCs w:val="20"/>
              </w:rPr>
              <w:t>can compare and contrast a society in the past with my own and contribute to a discussion of the similarities and differences</w:t>
            </w:r>
            <w:r w:rsidRPr="007630D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SOC2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-04a</w:t>
            </w:r>
          </w:p>
          <w:p w:rsidR="00396A21" w:rsidRPr="006C5F50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People, place and environment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</w:t>
            </w:r>
            <w:r w:rsidR="00A251BF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describe the major characteristic features of Scotland’s landscape and explain how these were formed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-07a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</w:t>
            </w:r>
            <w:r w:rsidR="00A251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 the environmental impact of human </w:t>
            </w:r>
            <w:proofErr w:type="spellStart"/>
            <w:r w:rsidR="00A251BF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activitiy</w:t>
            </w:r>
            <w:proofErr w:type="spellEnd"/>
            <w:r w:rsidR="00A251B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suggest ways in which we can live in a more environmentally responsible way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-08a</w:t>
            </w:r>
          </w:p>
          <w:p w:rsidR="00A251BF" w:rsidRPr="00A251BF" w:rsidRDefault="00A251BF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251BF">
              <w:rPr>
                <w:rFonts w:ascii="Arial" w:hAnsi="Arial" w:cs="Arial"/>
                <w:sz w:val="20"/>
                <w:szCs w:val="20"/>
              </w:rPr>
              <w:t>I can consider the advantages and disadvantages of a proposed land use development and discuss the impact this may have on the community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2-08b</w:t>
            </w:r>
          </w:p>
          <w:p w:rsidR="00396A21" w:rsidRPr="006C5F50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People, society, economy and business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</w:t>
            </w:r>
            <w:r w:rsidR="00A251BF">
              <w:rPr>
                <w:rFonts w:ascii="Arial" w:hAnsi="Arial" w:cs="Arial"/>
                <w:color w:val="000000" w:themeColor="text1"/>
                <w:sz w:val="20"/>
                <w:szCs w:val="20"/>
              </w:rPr>
              <w:t>explain how the needs of a group in my local community are supported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</w:t>
            </w:r>
            <w:r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-16a</w:t>
            </w:r>
          </w:p>
          <w:p w:rsidR="00A251BF" w:rsidRDefault="00A251BF" w:rsidP="00A251B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gather and use information about forms of discrimination against people and societies and consider the impact this has on peoples’ lives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2-16b</w:t>
            </w:r>
          </w:p>
          <w:p w:rsidR="00A251BF" w:rsidRDefault="00A251BF" w:rsidP="00A251B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can discuss issues of the diversity of cultures, values and customs in our society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2-16c</w:t>
            </w:r>
          </w:p>
          <w:p w:rsidR="00C206C4" w:rsidRPr="00944619" w:rsidRDefault="0097425A" w:rsidP="00726180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Through exploring ethical trading, I can understand how peoples’ basic needs are the same around the world, discussing why some societies are more able to meet these needs than others. </w:t>
            </w:r>
            <w:r>
              <w:rPr>
                <w:rFonts w:ascii="Arial" w:hAnsi="Arial" w:cs="Arial"/>
                <w:b/>
                <w:color w:val="FF0066"/>
                <w:sz w:val="20"/>
                <w:szCs w:val="20"/>
              </w:rPr>
              <w:t>SOC 2</w:t>
            </w:r>
            <w:r w:rsidR="00396A21" w:rsidRPr="006C5F50">
              <w:rPr>
                <w:rFonts w:ascii="Arial" w:hAnsi="Arial" w:cs="Arial"/>
                <w:b/>
                <w:color w:val="FF0066"/>
                <w:sz w:val="20"/>
                <w:szCs w:val="20"/>
              </w:rPr>
              <w:t>-20a</w:t>
            </w: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396A21" w:rsidRPr="00515E99" w:rsidRDefault="00396A21" w:rsidP="00396A2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>Expressive Arts – Participation in performances and presentations</w:t>
            </w:r>
            <w:r w:rsidRPr="0058155B">
              <w:rPr>
                <w:rFonts w:ascii="Arial" w:hAnsi="Arial" w:cs="Arial"/>
                <w:color w:val="FFC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I have experienced the energy and excitement of presenting/performing for audiences and being part of an audience for other people’s presentations/performances </w:t>
            </w:r>
            <w:r w:rsidR="00A251BF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2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-01a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Art and Design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FD26FA">
              <w:rPr>
                <w:rFonts w:ascii="Arial" w:hAnsi="Arial" w:cs="Arial"/>
                <w:sz w:val="20"/>
                <w:szCs w:val="20"/>
              </w:rPr>
              <w:t xml:space="preserve">Inspired by a range of stimuli, I can express and communicate my ideas, thoughts and feelings through activities within art and design </w:t>
            </w:r>
            <w:r w:rsidR="00A251BF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2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-05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396A21" w:rsidRPr="00FD26FA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respond to the work of artists and designers by discussing my thoughts and feelings. I can give and accept constructive comment on my own and others’ work </w:t>
            </w:r>
            <w:r w:rsidR="00A251BF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2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-07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Dance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am becoming aware of different features of dance and can practise and perform steps, formations and short dance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2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-10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respond to the experience of dance by discussing my thoughts and feelings. I can give and accept constructive comment on my own and others’ work </w:t>
            </w:r>
            <w:r w:rsidR="00A251BF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2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-11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Drama</w:t>
            </w:r>
          </w:p>
          <w:p w:rsidR="00396A21" w:rsidRPr="00642BAC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A251BF">
              <w:rPr>
                <w:rFonts w:ascii="Arial" w:hAnsi="Arial" w:cs="Arial"/>
                <w:sz w:val="20"/>
                <w:szCs w:val="20"/>
              </w:rPr>
              <w:t>created and presented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sz w:val="20"/>
                <w:szCs w:val="20"/>
              </w:rPr>
              <w:t xml:space="preserve">scripted or improvised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="00A251BF">
              <w:rPr>
                <w:rFonts w:ascii="Arial" w:hAnsi="Arial" w:cs="Arial"/>
                <w:sz w:val="20"/>
                <w:szCs w:val="20"/>
              </w:rPr>
              <w:t>, beginning to take account of audience and atmosphere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2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-14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8155B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Expressive Arts – 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Music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642BAC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can sing and play music from a range of styles and cultures, showing skill </w:t>
            </w:r>
            <w:r w:rsidR="00A251BF">
              <w:rPr>
                <w:rFonts w:ascii="Arial" w:hAnsi="Arial" w:cs="Arial"/>
                <w:sz w:val="20"/>
                <w:szCs w:val="20"/>
              </w:rPr>
              <w:t>and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directions</w:t>
            </w:r>
            <w:r w:rsidR="00A251BF">
              <w:rPr>
                <w:rFonts w:ascii="Arial" w:hAnsi="Arial" w:cs="Arial"/>
                <w:sz w:val="20"/>
                <w:szCs w:val="20"/>
              </w:rPr>
              <w:t>, and/or musical notation</w:t>
            </w:r>
            <w:r w:rsidRPr="00642B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51BF">
              <w:rPr>
                <w:rFonts w:ascii="Arial" w:hAnsi="Arial" w:cs="Arial"/>
                <w:b/>
                <w:color w:val="FFC000"/>
                <w:sz w:val="20"/>
                <w:szCs w:val="20"/>
              </w:rPr>
              <w:t>EXA 2</w:t>
            </w:r>
            <w:r>
              <w:rPr>
                <w:rFonts w:ascii="Arial" w:hAnsi="Arial" w:cs="Arial"/>
                <w:b/>
                <w:color w:val="FFC000"/>
                <w:sz w:val="20"/>
                <w:szCs w:val="20"/>
              </w:rPr>
              <w:t>-16</w:t>
            </w:r>
            <w:r w:rsidRPr="00FD26FA">
              <w:rPr>
                <w:rFonts w:ascii="Arial" w:hAnsi="Arial" w:cs="Arial"/>
                <w:b/>
                <w:color w:val="FFC000"/>
                <w:sz w:val="20"/>
                <w:szCs w:val="20"/>
              </w:rPr>
              <w:t>a</w:t>
            </w:r>
            <w:bookmarkStart w:id="0" w:name="_GoBack"/>
            <w:bookmarkEnd w:id="0"/>
          </w:p>
          <w:p w:rsidR="00396A21" w:rsidRPr="006C5F50" w:rsidRDefault="00396A21" w:rsidP="00396A21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Mental, emotional, social and physical wellbeing - Social Wellbeing</w:t>
            </w:r>
          </w:p>
          <w:p w:rsidR="00396A21" w:rsidRPr="006C5F50" w:rsidRDefault="00396A21" w:rsidP="00396A2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recognise that each individual has a unique blend of abilities and needs. I contribute to making my school community one which values individuals equally and is a welcoming place for all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2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-10a</w:t>
            </w:r>
          </w:p>
          <w:p w:rsidR="00396A21" w:rsidRPr="00515E99" w:rsidRDefault="00396A21" w:rsidP="00396A21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Representing my class, school and/or wider community encourages my self-worth and confidence and allows me to contribute to and participate in society.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2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-12a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Through contributing my views, time and talents, I play a part in bringing about positive change in my school and wider community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HWB 2</w:t>
            </w:r>
            <w:r w:rsidRPr="006C5F50">
              <w:rPr>
                <w:rFonts w:ascii="Arial" w:hAnsi="Arial" w:cs="Arial"/>
                <w:b/>
                <w:color w:val="00B050"/>
                <w:sz w:val="20"/>
                <w:szCs w:val="20"/>
              </w:rPr>
              <w:t>-13a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0A1243">
              <w:rPr>
                <w:rFonts w:ascii="Arial" w:hAnsi="Arial" w:cs="Arial"/>
                <w:b/>
                <w:color w:val="0070C0"/>
                <w:sz w:val="20"/>
                <w:szCs w:val="20"/>
              </w:rPr>
              <w:t>Technologies - Technological Developments in Society and Business – Impact, contribution and relationship of technologies on business, the economy, politics, and the environment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make suggestions as to how individuals and organisations may use technologies to support sustainability and reduce the impact on our environments</w:t>
            </w:r>
            <w:r w:rsidRPr="000A124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TCH 2</w:t>
            </w:r>
            <w:r w:rsidRPr="000A1243">
              <w:rPr>
                <w:rFonts w:ascii="Arial" w:hAnsi="Arial" w:cs="Arial"/>
                <w:b/>
                <w:color w:val="0070C0"/>
                <w:sz w:val="20"/>
                <w:szCs w:val="20"/>
              </w:rPr>
              <w:t>-07a</w:t>
            </w:r>
            <w:r w:rsidRPr="000A124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396A21" w:rsidRPr="00C6192A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192A">
              <w:rPr>
                <w:rFonts w:ascii="Arial" w:hAnsi="Arial" w:cs="Arial"/>
                <w:color w:val="FF0000"/>
                <w:sz w:val="20"/>
                <w:szCs w:val="20"/>
              </w:rPr>
              <w:t>Modern Languages – Listening and talking – Organising and using information</w:t>
            </w:r>
          </w:p>
          <w:p w:rsidR="00396A21" w:rsidRPr="00C6192A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worked with others using a variety of media including ICT where appropriate, and can contribute successfully to a presentation in English, supported by use of the language I am learning on an aspect of life in a country where the language I am learning is spoken </w:t>
            </w:r>
            <w:r w:rsidRPr="00285481">
              <w:rPr>
                <w:rFonts w:ascii="Arial" w:hAnsi="Arial" w:cs="Arial"/>
                <w:b/>
                <w:color w:val="FF0000"/>
                <w:sz w:val="20"/>
                <w:szCs w:val="20"/>
              </w:rPr>
              <w:t>MLAN 2-06b</w:t>
            </w:r>
            <w:r w:rsidRPr="00C6192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396A2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Reading – Reading to appreciate other cultures – </w:t>
            </w:r>
          </w:p>
          <w:p w:rsidR="00396A21" w:rsidRPr="00285481" w:rsidRDefault="00396A21" w:rsidP="00396A21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work on my own and with others to read and discuss simple texts in the language I am learning. I can share simple facts about features of life in some of the countries where the language I am learning is spoken </w:t>
            </w:r>
            <w:r w:rsidRPr="00285481">
              <w:rPr>
                <w:rFonts w:ascii="Arial" w:hAnsi="Arial" w:cs="Arial"/>
                <w:b/>
                <w:color w:val="FF0000"/>
                <w:sz w:val="20"/>
                <w:szCs w:val="20"/>
              </w:rPr>
              <w:t>MLAN 2-09a</w:t>
            </w:r>
          </w:p>
          <w:p w:rsidR="001D45D0" w:rsidRPr="00944619" w:rsidRDefault="001D45D0" w:rsidP="00CE32F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277" w:rsidRPr="00944619" w:rsidTr="00B969BB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923277" w:rsidRPr="00944619" w:rsidTr="00F84749">
        <w:trPr>
          <w:trHeight w:val="1891"/>
        </w:trPr>
        <w:tc>
          <w:tcPr>
            <w:tcW w:w="7454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5481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415"/>
    <w:rsid w:val="00376B27"/>
    <w:rsid w:val="00377A6F"/>
    <w:rsid w:val="00391EDA"/>
    <w:rsid w:val="00396A21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4AA4"/>
    <w:rsid w:val="00585C0B"/>
    <w:rsid w:val="00596F1E"/>
    <w:rsid w:val="005C0C66"/>
    <w:rsid w:val="005C14AC"/>
    <w:rsid w:val="005C510A"/>
    <w:rsid w:val="005D209B"/>
    <w:rsid w:val="005D557F"/>
    <w:rsid w:val="005E5C64"/>
    <w:rsid w:val="005F0F0A"/>
    <w:rsid w:val="00622C3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D6D96"/>
    <w:rsid w:val="006F749B"/>
    <w:rsid w:val="00726180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C1BE7"/>
    <w:rsid w:val="007D1449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B0A66"/>
    <w:rsid w:val="008B7457"/>
    <w:rsid w:val="008E2663"/>
    <w:rsid w:val="008F4010"/>
    <w:rsid w:val="009058BF"/>
    <w:rsid w:val="009173FB"/>
    <w:rsid w:val="00923277"/>
    <w:rsid w:val="00944619"/>
    <w:rsid w:val="0095095F"/>
    <w:rsid w:val="00952411"/>
    <w:rsid w:val="00955164"/>
    <w:rsid w:val="00966FE0"/>
    <w:rsid w:val="009708B1"/>
    <w:rsid w:val="0097315A"/>
    <w:rsid w:val="009742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251BF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2516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86816"/>
    <w:rsid w:val="00C87E2C"/>
    <w:rsid w:val="00C952C3"/>
    <w:rsid w:val="00CA3F66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34E2"/>
    <w:rsid w:val="00ED2735"/>
    <w:rsid w:val="00EE7D51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843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9</cp:revision>
  <cp:lastPrinted>2016-06-27T09:23:00Z</cp:lastPrinted>
  <dcterms:created xsi:type="dcterms:W3CDTF">2020-02-26T13:53:00Z</dcterms:created>
  <dcterms:modified xsi:type="dcterms:W3CDTF">2020-03-20T14:33:00Z</dcterms:modified>
</cp:coreProperties>
</file>