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27" w:rsidRDefault="0019601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0BFC5A" wp14:editId="72DCF4F7">
                <wp:simplePos x="0" y="0"/>
                <wp:positionH relativeFrom="margin">
                  <wp:posOffset>-257175</wp:posOffset>
                </wp:positionH>
                <wp:positionV relativeFrom="paragraph">
                  <wp:posOffset>600075</wp:posOffset>
                </wp:positionV>
                <wp:extent cx="33337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723" w:rsidRDefault="00B01723">
                            <w:r w:rsidRPr="002360F4">
                              <w:rPr>
                                <w:rStyle w:val="textbodyemph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 xml:space="preserve">When assessing </w:t>
                            </w:r>
                            <w:r>
                              <w:rPr>
                                <w:rStyle w:val="textbodyemph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>learning</w:t>
                            </w:r>
                            <w:r w:rsidRPr="002360F4">
                              <w:rPr>
                                <w:rStyle w:val="textbodyemph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 xml:space="preserve"> use the technologies benchmarks to identify what achieving a level looks like.</w:t>
                            </w:r>
                            <w:r>
                              <w:rPr>
                                <w:rStyle w:val="textbodyemph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60F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Benchmarks have been developed to provide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60F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clarity on the national standards expected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at each level. </w:t>
                            </w:r>
                            <w:r w:rsidRPr="002360F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Using the technologies benchmarks you should be able to identify what prior learning has occurred within a key concept, what should be happening and what future learning should look like.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*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date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after assessments have been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BF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47.25pt;width:26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TzDQIAAPoDAAAOAAAAZHJzL2Uyb0RvYy54bWysU9uO2yAQfa/Uf0C8N3ZSZy9WyGq721SV&#10;thdptx+AMY5RgaFAYqdfvwPOZqP2rSoPCJiZM3PODKub0Wiylz4osIzOZyUl0gpold0y+uNp8+6K&#10;khC5bbkGKxk9yEBv1m/frAZXywX0oFvpCYLYUA+O0T5GVxdFEL00PMzASYvGDrzhEa9+W7SeD4hu&#10;dLEoy4tiAN86D0KGgK/3k5GuM37XSRG/dV2QkWhGsbaYd5/3Ju3FesXrreeuV+JYBv+HKgxXFpOe&#10;oO555GTn1V9QRgkPAbo4E2AK6DolZOaAbOblH2wee+5k5oLiBHeSKfw/WPF1/90T1TJaUWK5wRY9&#10;yTGSDzCSRVJncKFGp0eHbnHEZ+xyZhrcA4ifgVi467ndylvvYeglb7G6eYoszkInnJBAmuELtJiG&#10;7yJkoLHzJkmHYhBExy4dTp1JpQh8fI/rcokmgbZ5VVYXi9y7gtcv4c6H+EmCIenAqMfWZ3i+fwgx&#10;lcPrF5eUzcJGaZ3bry0ZGL1eLpY54MxiVMTp1MowelWmNc1LYvnRtjk4cqWnMybQ9kg7MZ04x7EZ&#10;s75ZkyRJA+0BdfAwDSN+Hjz04H9TMuAgMhp+7biXlOjPFrW8nldVmtx8qZaXSJz4c0tzbuFWIBSj&#10;kZLpeBfztCfKwd2i5huV1Xit5FgyDlgW6fgZ0gSf37PX65ddPwMAAP//AwBQSwMEFAAGAAgAAAAh&#10;AHFNjarfAAAACgEAAA8AAABkcnMvZG93bnJldi54bWxMj01PwzAMhu9I/IfISNy2ZKNjo9SdJrSN&#10;42BUnLPGtBXNh5KsK/+e7AQn2/Kj14+L9ah7NpAPnTUIs6kARqa2qjMNQvWxm6yAhSiNkr01hPBD&#10;Adbl7U0hc2Uv5p2GY2xYCjEhlwhtjC7nPNQtaRmm1pFJuy/rtYxp9A1XXl5SuO75XIhHrmVn0oVW&#10;Onppqf4+njWCi26/fPWHt812N4jqc1/Nu2aLeH83bp6BRRrjHwxX/aQOZXI62bNRgfUIk0wsEorw&#10;lKWagGx1bU4ID7PFEnhZ8P8vlL8AAAD//wMAUEsBAi0AFAAGAAgAAAAhALaDOJL+AAAA4QEAABMA&#10;AAAAAAAAAAAAAAAAAAAAAFtDb250ZW50X1R5cGVzXS54bWxQSwECLQAUAAYACAAAACEAOP0h/9YA&#10;AACUAQAACwAAAAAAAAAAAAAAAAAvAQAAX3JlbHMvLnJlbHNQSwECLQAUAAYACAAAACEAmv+k8w0C&#10;AAD6AwAADgAAAAAAAAAAAAAAAAAuAgAAZHJzL2Uyb0RvYy54bWxQSwECLQAUAAYACAAAACEAcU2N&#10;qt8AAAAKAQAADwAAAAAAAAAAAAAAAABnBAAAZHJzL2Rvd25yZXYueG1sUEsFBgAAAAAEAAQA8wAA&#10;AHMFAAAAAA==&#10;" filled="f" stroked="f">
                <v:textbox style="mso-fit-shape-to-text:t">
                  <w:txbxContent>
                    <w:p w:rsidR="00B01723" w:rsidRDefault="00B01723">
                      <w:r w:rsidRPr="002360F4">
                        <w:rPr>
                          <w:rStyle w:val="textbodyemph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 xml:space="preserve">When assessing </w:t>
                      </w:r>
                      <w:r>
                        <w:rPr>
                          <w:rStyle w:val="textbodyemph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>learning</w:t>
                      </w:r>
                      <w:r w:rsidRPr="002360F4">
                        <w:rPr>
                          <w:rStyle w:val="textbodyemph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 xml:space="preserve"> use the technologies benchmarks to identify what achieving a level looks like.</w:t>
                      </w:r>
                      <w:r>
                        <w:rPr>
                          <w:rStyle w:val="textbodyemph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2360F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Benchmarks have been developed to provide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2360F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clarity on the national standards expected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at each level. </w:t>
                      </w:r>
                      <w:r w:rsidRPr="002360F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Using the technologies benchmarks you should be able to identify what prior learning has occurred within a key concept, what should be happening and what future learning should look like.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*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and</w:t>
                      </w:r>
                      <w:proofErr w:type="gramEnd"/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date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es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os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after assessments have been completed.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8230BD" wp14:editId="3A94935C">
                <wp:simplePos x="0" y="0"/>
                <wp:positionH relativeFrom="margin">
                  <wp:posOffset>3695700</wp:posOffset>
                </wp:positionH>
                <wp:positionV relativeFrom="paragraph">
                  <wp:posOffset>4705350</wp:posOffset>
                </wp:positionV>
                <wp:extent cx="3257550" cy="44646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46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C8" w:rsidRDefault="00B20D07" w:rsidP="0019601C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311C8">
                              <w:rPr>
                                <w:sz w:val="28"/>
                                <w:szCs w:val="28"/>
                              </w:rPr>
                              <w:t xml:space="preserve">The following will support teacher </w:t>
                            </w:r>
                            <w:r w:rsidR="0019601C">
                              <w:rPr>
                                <w:sz w:val="28"/>
                                <w:szCs w:val="28"/>
                              </w:rPr>
                              <w:t>confidence</w:t>
                            </w:r>
                            <w:r w:rsidRPr="00D311C8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D311C8" w:rsidRPr="00D311C8">
                              <w:rPr>
                                <w:sz w:val="28"/>
                                <w:szCs w:val="28"/>
                              </w:rPr>
                              <w:t>progression</w:t>
                            </w:r>
                            <w:r w:rsidR="00904885">
                              <w:rPr>
                                <w:sz w:val="28"/>
                                <w:szCs w:val="28"/>
                              </w:rPr>
                              <w:t xml:space="preserve"> of skills in IT</w:t>
                            </w:r>
                            <w:bookmarkStart w:id="0" w:name="_GoBack"/>
                            <w:bookmarkEnd w:id="0"/>
                            <w:r w:rsidR="00D311C8" w:rsidRPr="00D311C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D311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20D07" w:rsidRPr="00D311C8" w:rsidRDefault="00B20D0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311C8">
                              <w:rPr>
                                <w:i/>
                                <w:sz w:val="28"/>
                                <w:szCs w:val="28"/>
                              </w:rPr>
                              <w:t>Teach CS – a guide for Early Years and Primary Practitioners</w:t>
                            </w:r>
                          </w:p>
                          <w:p w:rsidR="00B20D07" w:rsidRPr="0019601C" w:rsidRDefault="00B20D0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311C8">
                              <w:rPr>
                                <w:i/>
                                <w:sz w:val="28"/>
                                <w:szCs w:val="28"/>
                              </w:rPr>
                              <w:t>CAS Barefoot</w:t>
                            </w:r>
                          </w:p>
                          <w:p w:rsidR="00D311C8" w:rsidRPr="00D311C8" w:rsidRDefault="00B20D0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9601C">
                              <w:rPr>
                                <w:i/>
                                <w:sz w:val="28"/>
                                <w:szCs w:val="28"/>
                              </w:rPr>
                              <w:t>Think You Know materials from CEOP</w:t>
                            </w:r>
                            <w:r w:rsidRPr="00D311C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for internet safety</w:t>
                            </w:r>
                            <w:r w:rsidR="00D311C8" w:rsidRPr="00D311C8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311C8" w:rsidRDefault="00D311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Food Technology resources in the GP room.</w:t>
                            </w:r>
                          </w:p>
                          <w:p w:rsidR="00D311C8" w:rsidRPr="00D311C8" w:rsidRDefault="00D311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Kapla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Lego .</w:t>
                            </w:r>
                            <w:proofErr w:type="gramEnd"/>
                          </w:p>
                          <w:p w:rsidR="00D311C8" w:rsidRPr="00D311C8" w:rsidRDefault="00B20D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11C8">
                              <w:rPr>
                                <w:sz w:val="28"/>
                                <w:szCs w:val="28"/>
                              </w:rPr>
                              <w:t>National</w:t>
                            </w:r>
                            <w:r w:rsidR="00D311C8">
                              <w:rPr>
                                <w:sz w:val="28"/>
                                <w:szCs w:val="28"/>
                              </w:rPr>
                              <w:t xml:space="preserve"> Technologies Community on Glow</w:t>
                            </w:r>
                          </w:p>
                          <w:p w:rsidR="00B20D07" w:rsidRPr="00D311C8" w:rsidRDefault="00D311C8" w:rsidP="00D311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11C8">
                              <w:rPr>
                                <w:sz w:val="36"/>
                                <w:szCs w:val="36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30BD" id="_x0000_s1027" type="#_x0000_t202" style="position:absolute;margin-left:291pt;margin-top:370.5pt;width:256.5pt;height:351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2XADwIAAPoDAAAOAAAAZHJzL2Uyb0RvYy54bWysU21v2yAQ/j5p/wHxfXHi2mlqxam6dp0m&#10;dS9Sux9AMI7RgGNAYme/vgdOMmv7No0PiOO45+557ljfDlqRg3BegqnpYjanRBgOjTS7mn5/eXy3&#10;osQHZhqmwIiaHoWnt5u3b9a9rUQOHahGOIIgxle9rWkXgq2yzPNOaOZnYIVBZwtOs4Cm22WNYz2i&#10;a5Xl8/ky68E11gEX3uPtw+ikm4TftoKHr23rRSCqplhbSLtL+zbu2WbNqp1jtpP8VAb7hyo0kwaT&#10;XqAeWGBk7+RfUFpyBx7aMOOgM2hbyUXigGwW8z/YPHfMisQFxfH2IpP/f7D8y+GbI7KpaU6JYRpb&#10;9CKGQN7DQPKoTm99hY+eLT4LA15jlxNTb5+A//DEwH3HzE7cOQd9J1iD1S1iZDYJHXF8BNn2n6HB&#10;NGwfIAENrdNROhSDIDp26XjpTCyF4+VVXl6XJbo4+opiWSxXZcrBqnO4dT58FKBJPNTUYesTPDs8&#10;+RDLYdX5Scxm4FEqldqvDOlrelPmZQqYeLQMOJ1K6pqu5nGN8xJZfjBNCg5MqvGMCZQ50Y5MR85h&#10;2A5J36uzmltojqiDg3EY8fPgoQP3i5IeB7Gm/ueeOUGJ+mRQy5tFUcTJTUZRXudouKlnO/UwwxGq&#10;poGS8Xgf0rSPlO9Q81YmNWJzxkpOJeOAJZFOnyFO8NROr35/2c0rAAAA//8DAFBLAwQUAAYACAAA&#10;ACEArOHMWt8AAAANAQAADwAAAGRycy9kb3ducmV2LnhtbEyPzU7DMBCE70i8g7VI3KidyoE2xKkQ&#10;iCuI8iNxc+NtEhGvo9htwtuzPdHbN9rR7Ey5mX0vjjjGLpCBbKFAINXBddQY+Hh/vlmBiMmSs30g&#10;NPCLETbV5UVpCxcmesPjNjWCQygW1kCb0lBIGesWvY2LMCDxbR9GbxPLsZFutBOH+14ulbqV3nbE&#10;H1o74GOL9c/24A18vuy/v7R6bZ58PkxhVpL8WhpzfTU/3INIOKd/M5zqc3WouNMuHMhF0RvIV0ve&#10;kgzc6Yzh5FDrnGnHpLXOQFalPF9R/QEAAP//AwBQSwECLQAUAAYACAAAACEAtoM4kv4AAADhAQAA&#10;EwAAAAAAAAAAAAAAAAAAAAAAW0NvbnRlbnRfVHlwZXNdLnhtbFBLAQItABQABgAIAAAAIQA4/SH/&#10;1gAAAJQBAAALAAAAAAAAAAAAAAAAAC8BAABfcmVscy8ucmVsc1BLAQItABQABgAIAAAAIQDy52XA&#10;DwIAAPoDAAAOAAAAAAAAAAAAAAAAAC4CAABkcnMvZTJvRG9jLnhtbFBLAQItABQABgAIAAAAIQCs&#10;4cxa3wAAAA0BAAAPAAAAAAAAAAAAAAAAAGkEAABkcnMvZG93bnJldi54bWxQSwUGAAAAAAQABADz&#10;AAAAdQUAAAAA&#10;" filled="f" stroked="f">
                <v:textbox>
                  <w:txbxContent>
                    <w:p w:rsidR="00D311C8" w:rsidRDefault="00B20D07" w:rsidP="0019601C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 w:rsidRPr="00D311C8">
                        <w:rPr>
                          <w:sz w:val="28"/>
                          <w:szCs w:val="28"/>
                        </w:rPr>
                        <w:t xml:space="preserve">The following will support teacher </w:t>
                      </w:r>
                      <w:r w:rsidR="0019601C">
                        <w:rPr>
                          <w:sz w:val="28"/>
                          <w:szCs w:val="28"/>
                        </w:rPr>
                        <w:t>confidence</w:t>
                      </w:r>
                      <w:r w:rsidRPr="00D311C8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D311C8" w:rsidRPr="00D311C8">
                        <w:rPr>
                          <w:sz w:val="28"/>
                          <w:szCs w:val="28"/>
                        </w:rPr>
                        <w:t>progression</w:t>
                      </w:r>
                      <w:r w:rsidR="00904885">
                        <w:rPr>
                          <w:sz w:val="28"/>
                          <w:szCs w:val="28"/>
                        </w:rPr>
                        <w:t xml:space="preserve"> of skills in IT</w:t>
                      </w:r>
                      <w:bookmarkStart w:id="1" w:name="_GoBack"/>
                      <w:bookmarkEnd w:id="1"/>
                      <w:r w:rsidR="00D311C8" w:rsidRPr="00D311C8">
                        <w:rPr>
                          <w:sz w:val="28"/>
                          <w:szCs w:val="28"/>
                        </w:rPr>
                        <w:t>:</w:t>
                      </w:r>
                      <w:r w:rsidRPr="00D311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20D07" w:rsidRPr="00D311C8" w:rsidRDefault="00B20D0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D311C8">
                        <w:rPr>
                          <w:i/>
                          <w:sz w:val="28"/>
                          <w:szCs w:val="28"/>
                        </w:rPr>
                        <w:t>Teach CS – a guide for Early Years and Primary Practitioners</w:t>
                      </w:r>
                    </w:p>
                    <w:p w:rsidR="00B20D07" w:rsidRPr="0019601C" w:rsidRDefault="00B20D0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D311C8">
                        <w:rPr>
                          <w:i/>
                          <w:sz w:val="28"/>
                          <w:szCs w:val="28"/>
                        </w:rPr>
                        <w:t>CAS Barefoot</w:t>
                      </w:r>
                    </w:p>
                    <w:p w:rsidR="00D311C8" w:rsidRPr="00D311C8" w:rsidRDefault="00B20D07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sz w:val="28"/>
                          <w:szCs w:val="28"/>
                        </w:rPr>
                      </w:pPr>
                      <w:r w:rsidRPr="0019601C">
                        <w:rPr>
                          <w:i/>
                          <w:sz w:val="28"/>
                          <w:szCs w:val="28"/>
                        </w:rPr>
                        <w:t>Think You Know materials from CEOP</w:t>
                      </w:r>
                      <w:r w:rsidRPr="00D311C8">
                        <w:rPr>
                          <w:i/>
                          <w:sz w:val="28"/>
                          <w:szCs w:val="28"/>
                        </w:rPr>
                        <w:t xml:space="preserve"> for internet safety</w:t>
                      </w:r>
                      <w:r w:rsidR="00D311C8" w:rsidRPr="00D311C8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D311C8" w:rsidRDefault="00D311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Food Technology resources in the GP room.</w:t>
                      </w:r>
                    </w:p>
                    <w:p w:rsidR="00D311C8" w:rsidRPr="00D311C8" w:rsidRDefault="00D311C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Kapla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Lego .</w:t>
                      </w:r>
                      <w:proofErr w:type="gramEnd"/>
                    </w:p>
                    <w:p w:rsidR="00D311C8" w:rsidRPr="00D311C8" w:rsidRDefault="00B20D07">
                      <w:pPr>
                        <w:rPr>
                          <w:sz w:val="28"/>
                          <w:szCs w:val="28"/>
                        </w:rPr>
                      </w:pPr>
                      <w:r w:rsidRPr="00D311C8">
                        <w:rPr>
                          <w:sz w:val="28"/>
                          <w:szCs w:val="28"/>
                        </w:rPr>
                        <w:t>National</w:t>
                      </w:r>
                      <w:r w:rsidR="00D311C8">
                        <w:rPr>
                          <w:sz w:val="28"/>
                          <w:szCs w:val="28"/>
                        </w:rPr>
                        <w:t xml:space="preserve"> Technologies Community on Glow</w:t>
                      </w:r>
                    </w:p>
                    <w:p w:rsidR="00B20D07" w:rsidRPr="00D311C8" w:rsidRDefault="00D311C8" w:rsidP="00D311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11C8">
                        <w:rPr>
                          <w:sz w:val="36"/>
                          <w:szCs w:val="36"/>
                        </w:rPr>
                        <w:t>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D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E5FBF2" wp14:editId="41FF76B7">
                <wp:simplePos x="0" y="0"/>
                <wp:positionH relativeFrom="margin">
                  <wp:align>right</wp:align>
                </wp:positionH>
                <wp:positionV relativeFrom="paragraph">
                  <wp:posOffset>630555</wp:posOffset>
                </wp:positionV>
                <wp:extent cx="2924175" cy="3724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D07" w:rsidRPr="00B20D07" w:rsidRDefault="00B20D07" w:rsidP="00B20D07">
                            <w:pPr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20D07"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>The Technology Pathway should be used to inform planning, teaching and assessment. The pathway must be used to guide progression.</w:t>
                            </w:r>
                          </w:p>
                          <w:p w:rsidR="00B20D07" w:rsidRPr="00B20D07" w:rsidRDefault="00B20D07" w:rsidP="00B20D07">
                            <w:pPr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20D07"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>Planning will need to factor in the varying range of pupil skills</w:t>
                            </w:r>
                            <w:r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 xml:space="preserve"> and seek to explore STEM experiences.</w:t>
                            </w:r>
                          </w:p>
                          <w:p w:rsidR="00B20D07" w:rsidRPr="00B20D07" w:rsidRDefault="00B20D07" w:rsidP="00B20D07">
                            <w:pPr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20D07"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>Colour code the experience and outcomes planned each term Skills are repeated and built on across the pathway.</w:t>
                            </w:r>
                            <w:r w:rsidRPr="00B20D07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B20D07" w:rsidRPr="00B20D07" w:rsidRDefault="00B20D07" w:rsidP="00B20D07">
                            <w:pPr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20D07"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>I</w:t>
                            </w:r>
                            <w:r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>C</w:t>
                            </w:r>
                            <w:r w:rsidR="0019601C"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>T</w:t>
                            </w:r>
                            <w:r w:rsidRPr="00B20D07"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 xml:space="preserve"> can be taught as a discrete subject or as application of skills in </w:t>
                            </w:r>
                            <w:r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 xml:space="preserve">           </w:t>
                            </w:r>
                            <w:r w:rsidRPr="00B20D07"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GB"/>
                              </w:rPr>
                              <w:t>interdisciplinary topics.</w:t>
                            </w:r>
                          </w:p>
                          <w:p w:rsidR="00B20D07" w:rsidRPr="00B20D07" w:rsidRDefault="00B20D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FBF2" id="_x0000_s1028" type="#_x0000_t202" style="position:absolute;margin-left:179.05pt;margin-top:49.65pt;width:230.25pt;height:29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8bDAIAAPUDAAAOAAAAZHJzL2Uyb0RvYy54bWysU9uO2yAQfa/Uf0C8N47dpNlYIavtbreq&#10;tL1Iu/0AjHGMCgwFEjv9+g44m43at6o8IIaZOcw5M2yuR6PJQfqgwDJazuaUSCugVXbH6Pen+zdX&#10;lITIbcs1WMnoUQZ6vX39ajO4WlbQg26lJwhiQz04RvsYXV0UQfTS8DADJy06O/CGRzT9rmg9HxDd&#10;6KKaz98VA/jWeRAyBLy9m5x0m/G7Tor4teuCjEQzirXFvPu8N2kvthte7zx3vRKnMvg/VGG4svjo&#10;GeqOR072Xv0FZZTwEKCLMwGmgK5TQmYOyKac/8HmsedOZi4oTnBnmcL/gxVfDt88US2jVbmixHKD&#10;TXqSYyTvYSRV0mdwocawR4eBccRr7HPmGtwDiB+BWLjtud3JG+9h6CVvsb4yZRYXqRNOSCDN8Bla&#10;fIbvI2SgsfMmiYdyEETHPh3PvUmlCLys1tWiXC0pEeh7u6oWFRrpDV4/pzsf4kcJhqQDox6bn+H5&#10;4SHEKfQ5JL1m4V5pjfe81pYMjK6X1TInXHiMijifWhlGr+ZpTROTWH6wbU6OXOnpjLVoe6KdmE6c&#10;49iMGJi0aKA9ogAepjnEf4OHHvwvSgacQUbDzz33khL9yaKI63KxSEObjcVyVaHhLz3NpYdbgVCM&#10;Rkqm423Mgz5xvUGxO5VleKnkVCvOVhby9A/S8F7aOerlt25/AwAA//8DAFBLAwQUAAYACAAAACEA&#10;WzPP3NwAAAAHAQAADwAAAGRycy9kb3ducmV2LnhtbEyPzU7DMBCE70i8g7VI3KhNaaIkZFNVIK5U&#10;lB+Jmxtvk4h4HcVuE94e90SPoxnNfFOuZ9uLE42+c4xwv1AgiGtnOm4QPt5f7jIQPmg2undMCL/k&#10;YV1dX5W6MG7iNzrtQiNiCftCI7QhDIWUvm7Jar9wA3H0Dm60OkQ5NtKMeorltpdLpVJpdcdxodUD&#10;PbVU/+yOFuHz9fD9tVLb5tkmw+RmJdnmEvH2Zt48ggg0h/8wnPEjOlSRae+ObLzoEeKRgJDnDyCi&#10;u0pVAmKPkGZJBrIq5SV/9QcAAP//AwBQSwECLQAUAAYACAAAACEAtoM4kv4AAADhAQAAEwAAAAAA&#10;AAAAAAAAAAAAAAAAW0NvbnRlbnRfVHlwZXNdLnhtbFBLAQItABQABgAIAAAAIQA4/SH/1gAAAJQB&#10;AAALAAAAAAAAAAAAAAAAAC8BAABfcmVscy8ucmVsc1BLAQItABQABgAIAAAAIQDCq18bDAIAAPUD&#10;AAAOAAAAAAAAAAAAAAAAAC4CAABkcnMvZTJvRG9jLnhtbFBLAQItABQABgAIAAAAIQBbM8/c3AAA&#10;AAcBAAAPAAAAAAAAAAAAAAAAAGYEAABkcnMvZG93bnJldi54bWxQSwUGAAAAAAQABADzAAAAbwUA&#10;AAAA&#10;" filled="f" stroked="f">
                <v:textbox>
                  <w:txbxContent>
                    <w:p w:rsidR="00B20D07" w:rsidRPr="00B20D07" w:rsidRDefault="00B20D07" w:rsidP="00B20D07">
                      <w:pPr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 w:rsidRPr="00B20D07"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>The Technology Pathway should be used to inform planning, teaching and assessment. The pathway must be used to guide progression.</w:t>
                      </w:r>
                    </w:p>
                    <w:p w:rsidR="00B20D07" w:rsidRPr="00B20D07" w:rsidRDefault="00B20D07" w:rsidP="00B20D07">
                      <w:pPr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 w:rsidRPr="00B20D07"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>Planning will need to factor in the varying range of pupil skills</w:t>
                      </w:r>
                      <w:r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 xml:space="preserve"> and seek to explore STEM experiences.</w:t>
                      </w:r>
                    </w:p>
                    <w:p w:rsidR="00B20D07" w:rsidRPr="00B20D07" w:rsidRDefault="00B20D07" w:rsidP="00B20D07">
                      <w:pPr>
                        <w:rPr>
                          <w:rFonts w:eastAsia="Times New Roman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B20D07"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>Colour code the experience and outcomes planned each term Skills are repeated and built on across the pathway.</w:t>
                      </w:r>
                      <w:r w:rsidRPr="00B20D07">
                        <w:rPr>
                          <w:rFonts w:eastAsia="Times New Roman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="00B20D07" w:rsidRPr="00B20D07" w:rsidRDefault="00B20D07" w:rsidP="00B20D07">
                      <w:pPr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 w:rsidRPr="00B20D07"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>I</w:t>
                      </w:r>
                      <w:r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>C</w:t>
                      </w:r>
                      <w:r w:rsidR="0019601C"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>T</w:t>
                      </w:r>
                      <w:r w:rsidRPr="00B20D07"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 xml:space="preserve"> can be taught as a discrete subject or as application of skills in </w:t>
                      </w:r>
                      <w:r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 xml:space="preserve">           </w:t>
                      </w:r>
                      <w:r w:rsidRPr="00B20D07"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  <w:t>interdisciplinary topics.</w:t>
                      </w:r>
                    </w:p>
                    <w:p w:rsidR="00B20D07" w:rsidRPr="00B20D07" w:rsidRDefault="00B20D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1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AFC266" wp14:editId="5CC1A2A9">
                <wp:simplePos x="0" y="0"/>
                <wp:positionH relativeFrom="column">
                  <wp:posOffset>-342900</wp:posOffset>
                </wp:positionH>
                <wp:positionV relativeFrom="paragraph">
                  <wp:posOffset>4744720</wp:posOffset>
                </wp:positionV>
                <wp:extent cx="2943225" cy="40481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04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C8" w:rsidRPr="00B01723" w:rsidRDefault="00D311C8" w:rsidP="00D311C8">
                            <w:pPr>
                              <w:pStyle w:val="Defaul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B0172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The technologies framework provides a range of different contexts for learning, including the themes across learning; learning for sustainability, global citizenship, enterprise, that draw on important aspects of everyday life and work. </w:t>
                            </w:r>
                          </w:p>
                          <w:p w:rsidR="00D311C8" w:rsidRPr="00B01723" w:rsidRDefault="00D311C8" w:rsidP="00D311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172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The framework develops knowledge, skills, attributes and capabilities around concepts of learning in the technologies. The framework includes creative, practical and work-related experiences and outcomes which develop skills for business, digital literacy, computing science, food, textiles, craft, design, engineering, graphics and applied technologies</w:t>
                            </w:r>
                            <w:r w:rsidRPr="00B0172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C266" id="_x0000_s1029" type="#_x0000_t202" style="position:absolute;margin-left:-27pt;margin-top:373.6pt;width:231.75pt;height:3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SjCwIAAPoDAAAOAAAAZHJzL2Uyb0RvYy54bWysU9uO2yAQfa/Uf0C8N3a8TptYIavtbreq&#10;tL1Iu/0AgnGMCgwFEjv9+g44m0bbt6o8IIaZOcw5M6yvR6PJQfqgwDI6n5WUSCugVXbH6Pen+zdL&#10;SkLktuUarGT0KAO93rx+tR5cIyvoQbfSEwSxoRkco32MrimKIHppeJiBkxadHXjDI5p+V7SeD4hu&#10;dFGV5dtiAN86D0KGgLd3k5NuMn7XSRG/dl2QkWhGsbaYd5/3bdqLzZo3O89dr8SpDP4PVRiuLD56&#10;hrrjkZO9V39BGSU8BOjiTIApoOuUkJkDspmXL9g89tzJzAXFCe4sU/h/sOLL4ZsnqmX0ihLLDbbo&#10;SY6RvIeRVEmdwYUGgx4dhsURr7HLmWlwDyB+BGLhtud2J2+8h6GXvMXq5imzuEidcEIC2Q6focVn&#10;+D5CBho7b5J0KAZBdOzS8dyZVIrAy2pVX1XVghKBvrqsl3M00hu8eU53PsSPEgxJB0Y9tj7D88ND&#10;iFPoc0h6zcK90hrveaMtGRhdLRDyhceoiNOplWF0WaY1zUti+cG2OTlypacz1qLtiXZiOnGO43bM&#10;+p7V3EJ7RB08TMOInwcPPfhflAw4iIyGn3vuJSX6k0UtV/O6TpObjXrxrkLDX3q2lx5uBUIxGimZ&#10;jrcxT/tE7AY171RWIzVnquRUMg5Y1vP0GdIEX9o56s+X3fwGAAD//wMAUEsDBBQABgAIAAAAIQCu&#10;tP2R4AAAAAwBAAAPAAAAZHJzL2Rvd25yZXYueG1sTI/LTsMwEEX3SPyDNUjsWpvikDbEqRCILYjy&#10;kNi58TSJiMdR7Dbh7xlWsBzN0b3nltvZ9+KEY+wCGbhaKhBIdXAdNQbeXh8XaxAxWXK2D4QGvjHC&#10;tjo/K23hwkQveNqlRnAIxcIaaFMaCilj3aK3cRkGJP4dwuht4nNspBvtxOG+lyulbqS3HXFDawe8&#10;b7H+2h29gfenw+eHVs/Ng8+GKcxKkt9IYy4v5rtbEAnn9AfDrz6rQ8VO+3AkF0VvYJFp3pIM5Dpf&#10;gWBCq00GYs/o9VrnIKtS/h9R/QAAAP//AwBQSwECLQAUAAYACAAAACEAtoM4kv4AAADhAQAAEwAA&#10;AAAAAAAAAAAAAAAAAAAAW0NvbnRlbnRfVHlwZXNdLnhtbFBLAQItABQABgAIAAAAIQA4/SH/1gAA&#10;AJQBAAALAAAAAAAAAAAAAAAAAC8BAABfcmVscy8ucmVsc1BLAQItABQABgAIAAAAIQD74bSjCwIA&#10;APoDAAAOAAAAAAAAAAAAAAAAAC4CAABkcnMvZTJvRG9jLnhtbFBLAQItABQABgAIAAAAIQCutP2R&#10;4AAAAAwBAAAPAAAAAAAAAAAAAAAAAGUEAABkcnMvZG93bnJldi54bWxQSwUGAAAAAAQABADzAAAA&#10;cgUAAAAA&#10;" filled="f" stroked="f">
                <v:textbox>
                  <w:txbxContent>
                    <w:p w:rsidR="00D311C8" w:rsidRPr="00B01723" w:rsidRDefault="00D311C8" w:rsidP="00D311C8">
                      <w:pPr>
                        <w:pStyle w:val="Defaul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B01723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The technologies framework provides a range of different contexts for learning, including the themes across learning; learning for sustainability, global citizenship, enterprise, that draw on important aspects of everyday life and work. </w:t>
                      </w:r>
                    </w:p>
                    <w:p w:rsidR="00D311C8" w:rsidRPr="00B01723" w:rsidRDefault="00D311C8" w:rsidP="00D311C8">
                      <w:pPr>
                        <w:rPr>
                          <w:sz w:val="28"/>
                          <w:szCs w:val="28"/>
                        </w:rPr>
                      </w:pPr>
                      <w:r w:rsidRPr="00B0172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The framework develops knowledge, skills, attributes and capabilities around concepts of learning in the technologies. The framework includes creative, practical and work-related experiences and outcomes which develop skills for business, digital literacy, computing science, food, textiles, craft, design, engineering, graphics and applied technologies</w:t>
                      </w:r>
                      <w:r w:rsidRPr="00B01723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751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38100</wp:posOffset>
            </wp:positionV>
            <wp:extent cx="7687310" cy="10804525"/>
            <wp:effectExtent l="76200" t="3810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527" w:rsidSect="001F7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ova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16"/>
    <w:rsid w:val="0019601C"/>
    <w:rsid w:val="001B2C56"/>
    <w:rsid w:val="001B5B36"/>
    <w:rsid w:val="001F7516"/>
    <w:rsid w:val="00282060"/>
    <w:rsid w:val="002820D3"/>
    <w:rsid w:val="004365FF"/>
    <w:rsid w:val="005E706A"/>
    <w:rsid w:val="006C2B7D"/>
    <w:rsid w:val="00904885"/>
    <w:rsid w:val="00911527"/>
    <w:rsid w:val="00B01723"/>
    <w:rsid w:val="00B20D07"/>
    <w:rsid w:val="00D311C8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3BDF0-7031-49E9-908A-851564E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bodyemph1">
    <w:name w:val="textbodyemph1"/>
    <w:basedOn w:val="DefaultParagraphFont"/>
    <w:rsid w:val="00B01723"/>
    <w:rPr>
      <w:rFonts w:ascii="ArialNova-Bold" w:hAnsi="ArialNova-Bold" w:hint="default"/>
      <w:b/>
      <w:bCs/>
      <w:i w:val="0"/>
      <w:iCs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6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4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93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1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1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5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B160-C1AE-4A0F-91CD-0667D1A77A03}" type="doc">
      <dgm:prSet loTypeId="urn:microsoft.com/office/officeart/2005/8/layout/matrix1" loCatId="matrix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A8CDF304-17D9-4FD4-B5A4-E886A3A8C0EC}">
      <dgm:prSet phldrT="[Text]"/>
      <dgm:spPr/>
      <dgm:t>
        <a:bodyPr/>
        <a:lstStyle/>
        <a:p>
          <a:r>
            <a:rPr lang="en-GB"/>
            <a:t>Technology</a:t>
          </a:r>
        </a:p>
      </dgm:t>
    </dgm:pt>
    <dgm:pt modelId="{90F68E0A-1138-42D8-92B2-EF7701CEE96D}" type="parTrans" cxnId="{8C5D2257-4E39-4683-97DE-DB4E453D5173}">
      <dgm:prSet/>
      <dgm:spPr/>
      <dgm:t>
        <a:bodyPr/>
        <a:lstStyle/>
        <a:p>
          <a:endParaRPr lang="en-GB"/>
        </a:p>
      </dgm:t>
    </dgm:pt>
    <dgm:pt modelId="{94009F40-220B-47B1-B0A4-EAF26645EF63}" type="sibTrans" cxnId="{8C5D2257-4E39-4683-97DE-DB4E453D5173}">
      <dgm:prSet/>
      <dgm:spPr/>
      <dgm:t>
        <a:bodyPr/>
        <a:lstStyle/>
        <a:p>
          <a:endParaRPr lang="en-GB"/>
        </a:p>
      </dgm:t>
    </dgm:pt>
    <dgm:pt modelId="{A0F7225E-8C77-4C2B-AC9F-7A0A6CFF195D}">
      <dgm:prSet phldrT="[Text]"/>
      <dgm:spPr/>
      <dgm:t>
        <a:bodyPr/>
        <a:lstStyle/>
        <a:p>
          <a:r>
            <a:rPr lang="en-GB"/>
            <a:t>Assessment</a:t>
          </a:r>
        </a:p>
        <a:p>
          <a:r>
            <a:rPr lang="en-GB"/>
            <a:t> </a:t>
          </a:r>
        </a:p>
        <a:p>
          <a:endParaRPr lang="en-GB"/>
        </a:p>
        <a:p>
          <a:r>
            <a:rPr lang="en-GB"/>
            <a:t> </a:t>
          </a:r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            </a:t>
          </a:r>
        </a:p>
        <a:p>
          <a:endParaRPr lang="en-GB"/>
        </a:p>
        <a:p>
          <a:r>
            <a:rPr lang="en-GB"/>
            <a:t> </a:t>
          </a:r>
        </a:p>
      </dgm:t>
    </dgm:pt>
    <dgm:pt modelId="{CD23AE47-90EB-4BE5-9D0C-4AF0A54CCEDC}" type="parTrans" cxnId="{9995A710-EF0A-48CB-93E3-4B5E2897B225}">
      <dgm:prSet/>
      <dgm:spPr/>
      <dgm:t>
        <a:bodyPr/>
        <a:lstStyle/>
        <a:p>
          <a:endParaRPr lang="en-GB"/>
        </a:p>
      </dgm:t>
    </dgm:pt>
    <dgm:pt modelId="{B5459BE8-A324-4DC1-B048-5723EE1E5FED}" type="sibTrans" cxnId="{9995A710-EF0A-48CB-93E3-4B5E2897B225}">
      <dgm:prSet/>
      <dgm:spPr/>
      <dgm:t>
        <a:bodyPr/>
        <a:lstStyle/>
        <a:p>
          <a:endParaRPr lang="en-GB"/>
        </a:p>
      </dgm:t>
    </dgm:pt>
    <dgm:pt modelId="{1EE03AAB-4824-43CD-871F-305B9002EBFE}">
      <dgm:prSet phldrT="[Text]"/>
      <dgm:spPr/>
      <dgm:t>
        <a:bodyPr/>
        <a:lstStyle/>
        <a:p>
          <a:r>
            <a:rPr lang="en-GB"/>
            <a:t>Planning</a:t>
          </a:r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 </a:t>
          </a:r>
        </a:p>
      </dgm:t>
    </dgm:pt>
    <dgm:pt modelId="{C544A85F-5F28-46B6-B520-84F2991E27DC}" type="parTrans" cxnId="{38AF75A6-47EA-4297-ACBD-FC52D4744855}">
      <dgm:prSet/>
      <dgm:spPr/>
      <dgm:t>
        <a:bodyPr/>
        <a:lstStyle/>
        <a:p>
          <a:endParaRPr lang="en-GB"/>
        </a:p>
      </dgm:t>
    </dgm:pt>
    <dgm:pt modelId="{12A1DA9B-5A03-4ACD-A034-72A4B9CF0D8B}" type="sibTrans" cxnId="{38AF75A6-47EA-4297-ACBD-FC52D4744855}">
      <dgm:prSet/>
      <dgm:spPr/>
      <dgm:t>
        <a:bodyPr/>
        <a:lstStyle/>
        <a:p>
          <a:endParaRPr lang="en-GB"/>
        </a:p>
      </dgm:t>
    </dgm:pt>
    <dgm:pt modelId="{22B45C43-A5AA-4B97-BA67-AD5FB070E06C}">
      <dgm:prSet phldrT="[Text]"/>
      <dgm:spPr/>
      <dgm:t>
        <a:bodyPr/>
        <a:lstStyle/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Pedagodgy </a:t>
          </a:r>
        </a:p>
      </dgm:t>
    </dgm:pt>
    <dgm:pt modelId="{AAA4F116-32D1-47B4-A51A-EA3EE247DCB4}" type="parTrans" cxnId="{ACF8C739-E7B1-4B60-B984-ACF79A5546E7}">
      <dgm:prSet/>
      <dgm:spPr/>
      <dgm:t>
        <a:bodyPr/>
        <a:lstStyle/>
        <a:p>
          <a:endParaRPr lang="en-GB"/>
        </a:p>
      </dgm:t>
    </dgm:pt>
    <dgm:pt modelId="{C07CF6AF-FCF5-4D28-B5E7-1CE15D220F7E}" type="sibTrans" cxnId="{ACF8C739-E7B1-4B60-B984-ACF79A5546E7}">
      <dgm:prSet/>
      <dgm:spPr/>
      <dgm:t>
        <a:bodyPr/>
        <a:lstStyle/>
        <a:p>
          <a:endParaRPr lang="en-GB"/>
        </a:p>
      </dgm:t>
    </dgm:pt>
    <dgm:pt modelId="{D9E3E0D8-1AAA-44C1-9054-14FEDE9C2A45}">
      <dgm:prSet/>
      <dgm:spPr/>
      <dgm:t>
        <a:bodyPr/>
        <a:lstStyle/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</dgm:t>
    </dgm:pt>
    <dgm:pt modelId="{944BA39B-1A3A-4EAC-9793-FD5000FCF6DA}" type="parTrans" cxnId="{FA83ACBF-04DC-4C2F-A893-C7FE41594CF3}">
      <dgm:prSet/>
      <dgm:spPr/>
      <dgm:t>
        <a:bodyPr/>
        <a:lstStyle/>
        <a:p>
          <a:endParaRPr lang="en-GB"/>
        </a:p>
      </dgm:t>
    </dgm:pt>
    <dgm:pt modelId="{575938DD-25E4-4A4C-A21A-53088FDADE8B}" type="sibTrans" cxnId="{FA83ACBF-04DC-4C2F-A893-C7FE41594CF3}">
      <dgm:prSet/>
      <dgm:spPr/>
      <dgm:t>
        <a:bodyPr/>
        <a:lstStyle/>
        <a:p>
          <a:endParaRPr lang="en-GB"/>
        </a:p>
      </dgm:t>
    </dgm:pt>
    <dgm:pt modelId="{30426A33-D489-480E-BB09-1CC8312A5501}">
      <dgm:prSet/>
      <dgm:spPr/>
      <dgm:t>
        <a:bodyPr/>
        <a:lstStyle/>
        <a:p>
          <a:endParaRPr lang="en-GB"/>
        </a:p>
      </dgm:t>
    </dgm:pt>
    <dgm:pt modelId="{610010DA-BDE3-4B0C-A85E-E9F8B560C438}" type="parTrans" cxnId="{1F6CE438-215F-473B-BFA9-ACAECD9C5CFE}">
      <dgm:prSet/>
      <dgm:spPr/>
      <dgm:t>
        <a:bodyPr/>
        <a:lstStyle/>
        <a:p>
          <a:endParaRPr lang="en-GB"/>
        </a:p>
      </dgm:t>
    </dgm:pt>
    <dgm:pt modelId="{D7A6E022-3F1A-4BE2-82EB-C4253CDD44CE}" type="sibTrans" cxnId="{1F6CE438-215F-473B-BFA9-ACAECD9C5CFE}">
      <dgm:prSet/>
      <dgm:spPr/>
      <dgm:t>
        <a:bodyPr/>
        <a:lstStyle/>
        <a:p>
          <a:endParaRPr lang="en-GB"/>
        </a:p>
      </dgm:t>
    </dgm:pt>
    <dgm:pt modelId="{36773680-CE50-4B80-8481-12150A1EA60F}">
      <dgm:prSet/>
      <dgm:spPr/>
      <dgm:t>
        <a:bodyPr/>
        <a:lstStyle/>
        <a:p>
          <a:endParaRPr lang="en-GB"/>
        </a:p>
      </dgm:t>
    </dgm:pt>
    <dgm:pt modelId="{6EEFDA3B-CEED-402B-B15B-0BE4408DB6FE}" type="parTrans" cxnId="{A6B4C9B3-58FB-4830-B8C9-BE5233176542}">
      <dgm:prSet/>
      <dgm:spPr/>
      <dgm:t>
        <a:bodyPr/>
        <a:lstStyle/>
        <a:p>
          <a:endParaRPr lang="en-GB"/>
        </a:p>
      </dgm:t>
    </dgm:pt>
    <dgm:pt modelId="{D39EBED4-CAA0-4328-BCCC-D7563B25DAFA}" type="sibTrans" cxnId="{A6B4C9B3-58FB-4830-B8C9-BE5233176542}">
      <dgm:prSet/>
      <dgm:spPr/>
      <dgm:t>
        <a:bodyPr/>
        <a:lstStyle/>
        <a:p>
          <a:endParaRPr lang="en-GB"/>
        </a:p>
      </dgm:t>
    </dgm:pt>
    <dgm:pt modelId="{65365170-A164-4DFE-8033-6EEEAE72E109}">
      <dgm:prSet/>
      <dgm:spPr/>
      <dgm:t>
        <a:bodyPr/>
        <a:lstStyle/>
        <a:p>
          <a:endParaRPr lang="en-GB"/>
        </a:p>
      </dgm:t>
    </dgm:pt>
    <dgm:pt modelId="{E6718F23-F814-4742-9E85-AAA8453CACC3}" type="parTrans" cxnId="{134641D7-F6F4-415D-859C-57CDB88A02D5}">
      <dgm:prSet/>
      <dgm:spPr/>
      <dgm:t>
        <a:bodyPr/>
        <a:lstStyle/>
        <a:p>
          <a:endParaRPr lang="en-GB"/>
        </a:p>
      </dgm:t>
    </dgm:pt>
    <dgm:pt modelId="{D02B6ED3-97E0-4FDD-A873-ADD2037F1640}" type="sibTrans" cxnId="{134641D7-F6F4-415D-859C-57CDB88A02D5}">
      <dgm:prSet/>
      <dgm:spPr/>
      <dgm:t>
        <a:bodyPr/>
        <a:lstStyle/>
        <a:p>
          <a:endParaRPr lang="en-GB"/>
        </a:p>
      </dgm:t>
    </dgm:pt>
    <dgm:pt modelId="{D68508BE-C469-44B3-839E-FC72BABA7377}" type="pres">
      <dgm:prSet presAssocID="{C95AB160-C1AE-4A0F-91CD-0667D1A77A03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769BCA2-5DBB-40C8-BF8B-830CCD56A796}" type="pres">
      <dgm:prSet presAssocID="{C95AB160-C1AE-4A0F-91CD-0667D1A77A03}" presName="matrix" presStyleCnt="0"/>
      <dgm:spPr/>
    </dgm:pt>
    <dgm:pt modelId="{BBD15C02-B03B-4B02-B2F9-C9D092A8B4B0}" type="pres">
      <dgm:prSet presAssocID="{C95AB160-C1AE-4A0F-91CD-0667D1A77A03}" presName="tile1" presStyleLbl="node1" presStyleIdx="0" presStyleCnt="4" custScaleX="105505" custScaleY="115238" custLinFactNeighborY="1937"/>
      <dgm:spPr/>
      <dgm:t>
        <a:bodyPr/>
        <a:lstStyle/>
        <a:p>
          <a:endParaRPr lang="en-GB"/>
        </a:p>
      </dgm:t>
    </dgm:pt>
    <dgm:pt modelId="{98F5DA26-6748-488B-B787-634A6459C17C}" type="pres">
      <dgm:prSet presAssocID="{C95AB160-C1AE-4A0F-91CD-0667D1A77A03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398B8C8-1F9C-4470-80A5-856E27700F1C}" type="pres">
      <dgm:prSet presAssocID="{C95AB160-C1AE-4A0F-91CD-0667D1A77A03}" presName="tile2" presStyleLbl="node1" presStyleIdx="1" presStyleCnt="4" custScaleY="100538" custLinFactNeighborX="-3234" custLinFactNeighborY="-17529"/>
      <dgm:spPr/>
      <dgm:t>
        <a:bodyPr/>
        <a:lstStyle/>
        <a:p>
          <a:endParaRPr lang="en-GB"/>
        </a:p>
      </dgm:t>
    </dgm:pt>
    <dgm:pt modelId="{C90DC0AC-AD7D-4583-BB18-DDA904192975}" type="pres">
      <dgm:prSet presAssocID="{C95AB160-C1AE-4A0F-91CD-0667D1A77A03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5AB117B-77D8-4F9C-894A-2C4F55BD3AA6}" type="pres">
      <dgm:prSet presAssocID="{C95AB160-C1AE-4A0F-91CD-0667D1A77A03}" presName="tile3" presStyleLbl="node1" presStyleIdx="2" presStyleCnt="4" custScaleX="107486" custScaleY="92049" custLinFactNeighborX="886" custLinFactNeighborY="-25827"/>
      <dgm:spPr/>
      <dgm:t>
        <a:bodyPr/>
        <a:lstStyle/>
        <a:p>
          <a:endParaRPr lang="en-GB"/>
        </a:p>
      </dgm:t>
    </dgm:pt>
    <dgm:pt modelId="{CBC4C588-2774-4456-9DA0-A6C52CCB7A1B}" type="pres">
      <dgm:prSet presAssocID="{C95AB160-C1AE-4A0F-91CD-0667D1A77A03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41532BC-C566-4BF4-A5D2-CBDE84A89C82}" type="pres">
      <dgm:prSet presAssocID="{C95AB160-C1AE-4A0F-91CD-0667D1A77A03}" presName="tile4" presStyleLbl="node1" presStyleIdx="3" presStyleCnt="4" custScaleX="95729" custScaleY="92284" custLinFactNeighborX="-4213" custLinFactNeighborY="-25624"/>
      <dgm:spPr/>
      <dgm:t>
        <a:bodyPr/>
        <a:lstStyle/>
        <a:p>
          <a:endParaRPr lang="en-GB"/>
        </a:p>
      </dgm:t>
    </dgm:pt>
    <dgm:pt modelId="{F74D7FAA-5A31-4D50-A27A-28A2A2156FA7}" type="pres">
      <dgm:prSet presAssocID="{C95AB160-C1AE-4A0F-91CD-0667D1A77A03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67C68D6-9501-4A1B-BA23-5193E5838662}" type="pres">
      <dgm:prSet presAssocID="{C95AB160-C1AE-4A0F-91CD-0667D1A77A03}" presName="centerTile" presStyleLbl="fgShp" presStyleIdx="0" presStyleCnt="1" custScaleX="68121" custScaleY="32325" custLinFactNeighborX="-2891" custLinFactNeighborY="-20453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</dgm:ptLst>
  <dgm:cxnLst>
    <dgm:cxn modelId="{9995A710-EF0A-48CB-93E3-4B5E2897B225}" srcId="{A8CDF304-17D9-4FD4-B5A4-E886A3A8C0EC}" destId="{A0F7225E-8C77-4C2B-AC9F-7A0A6CFF195D}" srcOrd="0" destOrd="0" parTransId="{CD23AE47-90EB-4BE5-9D0C-4AF0A54CCEDC}" sibTransId="{B5459BE8-A324-4DC1-B048-5723EE1E5FED}"/>
    <dgm:cxn modelId="{C365592D-C7BA-4CD8-BF21-08649CA84A89}" type="presOf" srcId="{22B45C43-A5AA-4B97-BA67-AD5FB070E06C}" destId="{25AB117B-77D8-4F9C-894A-2C4F55BD3AA6}" srcOrd="0" destOrd="0" presId="urn:microsoft.com/office/officeart/2005/8/layout/matrix1"/>
    <dgm:cxn modelId="{8C5D2257-4E39-4683-97DE-DB4E453D5173}" srcId="{C95AB160-C1AE-4A0F-91CD-0667D1A77A03}" destId="{A8CDF304-17D9-4FD4-B5A4-E886A3A8C0EC}" srcOrd="0" destOrd="0" parTransId="{90F68E0A-1138-42D8-92B2-EF7701CEE96D}" sibTransId="{94009F40-220B-47B1-B0A4-EAF26645EF63}"/>
    <dgm:cxn modelId="{04D10BD3-AF39-4306-A07B-3B89AA476E25}" type="presOf" srcId="{A0F7225E-8C77-4C2B-AC9F-7A0A6CFF195D}" destId="{98F5DA26-6748-488B-B787-634A6459C17C}" srcOrd="1" destOrd="0" presId="urn:microsoft.com/office/officeart/2005/8/layout/matrix1"/>
    <dgm:cxn modelId="{FA83ACBF-04DC-4C2F-A893-C7FE41594CF3}" srcId="{A8CDF304-17D9-4FD4-B5A4-E886A3A8C0EC}" destId="{D9E3E0D8-1AAA-44C1-9054-14FEDE9C2A45}" srcOrd="3" destOrd="0" parTransId="{944BA39B-1A3A-4EAC-9793-FD5000FCF6DA}" sibTransId="{575938DD-25E4-4A4C-A21A-53088FDADE8B}"/>
    <dgm:cxn modelId="{A0372719-56D9-4075-839A-0A73A209495B}" type="presOf" srcId="{A0F7225E-8C77-4C2B-AC9F-7A0A6CFF195D}" destId="{BBD15C02-B03B-4B02-B2F9-C9D092A8B4B0}" srcOrd="0" destOrd="0" presId="urn:microsoft.com/office/officeart/2005/8/layout/matrix1"/>
    <dgm:cxn modelId="{ACF8C739-E7B1-4B60-B984-ACF79A5546E7}" srcId="{A8CDF304-17D9-4FD4-B5A4-E886A3A8C0EC}" destId="{22B45C43-A5AA-4B97-BA67-AD5FB070E06C}" srcOrd="2" destOrd="0" parTransId="{AAA4F116-32D1-47B4-A51A-EA3EE247DCB4}" sibTransId="{C07CF6AF-FCF5-4D28-B5E7-1CE15D220F7E}"/>
    <dgm:cxn modelId="{A5D4BB7B-CCA1-4C1B-BD84-8126526C30AF}" type="presOf" srcId="{D9E3E0D8-1AAA-44C1-9054-14FEDE9C2A45}" destId="{A41532BC-C566-4BF4-A5D2-CBDE84A89C82}" srcOrd="0" destOrd="0" presId="urn:microsoft.com/office/officeart/2005/8/layout/matrix1"/>
    <dgm:cxn modelId="{38AF75A6-47EA-4297-ACBD-FC52D4744855}" srcId="{A8CDF304-17D9-4FD4-B5A4-E886A3A8C0EC}" destId="{1EE03AAB-4824-43CD-871F-305B9002EBFE}" srcOrd="1" destOrd="0" parTransId="{C544A85F-5F28-46B6-B520-84F2991E27DC}" sibTransId="{12A1DA9B-5A03-4ACD-A034-72A4B9CF0D8B}"/>
    <dgm:cxn modelId="{55EB0C5A-5125-403F-8553-A89F41B39157}" type="presOf" srcId="{D9E3E0D8-1AAA-44C1-9054-14FEDE9C2A45}" destId="{F74D7FAA-5A31-4D50-A27A-28A2A2156FA7}" srcOrd="1" destOrd="0" presId="urn:microsoft.com/office/officeart/2005/8/layout/matrix1"/>
    <dgm:cxn modelId="{4B68E08D-72E6-4DAC-8554-FA7688D9ECFB}" type="presOf" srcId="{22B45C43-A5AA-4B97-BA67-AD5FB070E06C}" destId="{CBC4C588-2774-4456-9DA0-A6C52CCB7A1B}" srcOrd="1" destOrd="0" presId="urn:microsoft.com/office/officeart/2005/8/layout/matrix1"/>
    <dgm:cxn modelId="{1EADA577-2F7C-4862-95C7-B699DDA8D4D9}" type="presOf" srcId="{1EE03AAB-4824-43CD-871F-305B9002EBFE}" destId="{C90DC0AC-AD7D-4583-BB18-DDA904192975}" srcOrd="1" destOrd="0" presId="urn:microsoft.com/office/officeart/2005/8/layout/matrix1"/>
    <dgm:cxn modelId="{A6B4C9B3-58FB-4830-B8C9-BE5233176542}" srcId="{A8CDF304-17D9-4FD4-B5A4-E886A3A8C0EC}" destId="{36773680-CE50-4B80-8481-12150A1EA60F}" srcOrd="5" destOrd="0" parTransId="{6EEFDA3B-CEED-402B-B15B-0BE4408DB6FE}" sibTransId="{D39EBED4-CAA0-4328-BCCC-D7563B25DAFA}"/>
    <dgm:cxn modelId="{8598AC38-58B4-4138-82B9-35A28FE0EF84}" type="presOf" srcId="{C95AB160-C1AE-4A0F-91CD-0667D1A77A03}" destId="{D68508BE-C469-44B3-839E-FC72BABA7377}" srcOrd="0" destOrd="0" presId="urn:microsoft.com/office/officeart/2005/8/layout/matrix1"/>
    <dgm:cxn modelId="{0D3DBEBF-54F2-494F-9A7C-A208A4D62A9A}" type="presOf" srcId="{A8CDF304-17D9-4FD4-B5A4-E886A3A8C0EC}" destId="{967C68D6-9501-4A1B-BA23-5193E5838662}" srcOrd="0" destOrd="0" presId="urn:microsoft.com/office/officeart/2005/8/layout/matrix1"/>
    <dgm:cxn modelId="{9A6DBEE4-DBF3-4CBE-9ADB-8F4D36FB40E6}" type="presOf" srcId="{1EE03AAB-4824-43CD-871F-305B9002EBFE}" destId="{8398B8C8-1F9C-4470-80A5-856E27700F1C}" srcOrd="0" destOrd="0" presId="urn:microsoft.com/office/officeart/2005/8/layout/matrix1"/>
    <dgm:cxn modelId="{134641D7-F6F4-415D-859C-57CDB88A02D5}" srcId="{A8CDF304-17D9-4FD4-B5A4-E886A3A8C0EC}" destId="{65365170-A164-4DFE-8033-6EEEAE72E109}" srcOrd="6" destOrd="0" parTransId="{E6718F23-F814-4742-9E85-AAA8453CACC3}" sibTransId="{D02B6ED3-97E0-4FDD-A873-ADD2037F1640}"/>
    <dgm:cxn modelId="{1F6CE438-215F-473B-BFA9-ACAECD9C5CFE}" srcId="{A8CDF304-17D9-4FD4-B5A4-E886A3A8C0EC}" destId="{30426A33-D489-480E-BB09-1CC8312A5501}" srcOrd="4" destOrd="0" parTransId="{610010DA-BDE3-4B0C-A85E-E9F8B560C438}" sibTransId="{D7A6E022-3F1A-4BE2-82EB-C4253CDD44CE}"/>
    <dgm:cxn modelId="{06C723A4-92DC-4474-8BAE-9AC631516DB9}" type="presParOf" srcId="{D68508BE-C469-44B3-839E-FC72BABA7377}" destId="{2769BCA2-5DBB-40C8-BF8B-830CCD56A796}" srcOrd="0" destOrd="0" presId="urn:microsoft.com/office/officeart/2005/8/layout/matrix1"/>
    <dgm:cxn modelId="{FC49807C-AA03-47A2-B31D-F18E956E4C29}" type="presParOf" srcId="{2769BCA2-5DBB-40C8-BF8B-830CCD56A796}" destId="{BBD15C02-B03B-4B02-B2F9-C9D092A8B4B0}" srcOrd="0" destOrd="0" presId="urn:microsoft.com/office/officeart/2005/8/layout/matrix1"/>
    <dgm:cxn modelId="{CC178F33-7974-4373-8BB4-1BC8F0948F05}" type="presParOf" srcId="{2769BCA2-5DBB-40C8-BF8B-830CCD56A796}" destId="{98F5DA26-6748-488B-B787-634A6459C17C}" srcOrd="1" destOrd="0" presId="urn:microsoft.com/office/officeart/2005/8/layout/matrix1"/>
    <dgm:cxn modelId="{EC623B65-34EA-49BB-8CD7-067B9BD6485B}" type="presParOf" srcId="{2769BCA2-5DBB-40C8-BF8B-830CCD56A796}" destId="{8398B8C8-1F9C-4470-80A5-856E27700F1C}" srcOrd="2" destOrd="0" presId="urn:microsoft.com/office/officeart/2005/8/layout/matrix1"/>
    <dgm:cxn modelId="{E6790D63-F8D3-4968-BF02-3049F0F9DF0C}" type="presParOf" srcId="{2769BCA2-5DBB-40C8-BF8B-830CCD56A796}" destId="{C90DC0AC-AD7D-4583-BB18-DDA904192975}" srcOrd="3" destOrd="0" presId="urn:microsoft.com/office/officeart/2005/8/layout/matrix1"/>
    <dgm:cxn modelId="{D4481013-CD87-46E3-A93D-8453CF5B3399}" type="presParOf" srcId="{2769BCA2-5DBB-40C8-BF8B-830CCD56A796}" destId="{25AB117B-77D8-4F9C-894A-2C4F55BD3AA6}" srcOrd="4" destOrd="0" presId="urn:microsoft.com/office/officeart/2005/8/layout/matrix1"/>
    <dgm:cxn modelId="{A16E47B7-86FF-440F-9421-0D9D721A9702}" type="presParOf" srcId="{2769BCA2-5DBB-40C8-BF8B-830CCD56A796}" destId="{CBC4C588-2774-4456-9DA0-A6C52CCB7A1B}" srcOrd="5" destOrd="0" presId="urn:microsoft.com/office/officeart/2005/8/layout/matrix1"/>
    <dgm:cxn modelId="{CCBDADAB-31B1-477E-9F9D-39F94675CC4E}" type="presParOf" srcId="{2769BCA2-5DBB-40C8-BF8B-830CCD56A796}" destId="{A41532BC-C566-4BF4-A5D2-CBDE84A89C82}" srcOrd="6" destOrd="0" presId="urn:microsoft.com/office/officeart/2005/8/layout/matrix1"/>
    <dgm:cxn modelId="{0F2B11D6-9C4A-4845-9358-A9065AB7680F}" type="presParOf" srcId="{2769BCA2-5DBB-40C8-BF8B-830CCD56A796}" destId="{F74D7FAA-5A31-4D50-A27A-28A2A2156FA7}" srcOrd="7" destOrd="0" presId="urn:microsoft.com/office/officeart/2005/8/layout/matrix1"/>
    <dgm:cxn modelId="{491575CB-D1A3-42F0-8D50-6E963EB05293}" type="presParOf" srcId="{D68508BE-C469-44B3-839E-FC72BABA7377}" destId="{967C68D6-9501-4A1B-BA23-5193E58386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D15C02-B03B-4B02-B2F9-C9D092A8B4B0}">
      <dsp:nvSpPr>
        <dsp:cNvPr id="0" name=""/>
        <dsp:cNvSpPr/>
      </dsp:nvSpPr>
      <dsp:spPr>
        <a:xfrm rot="16200000">
          <a:off x="-1118968" y="1088157"/>
          <a:ext cx="6225459" cy="4055248"/>
        </a:xfrm>
        <a:prstGeom prst="round1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Assessment</a:t>
          </a:r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 </a:t>
          </a:r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 </a:t>
          </a:r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            </a:t>
          </a:r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 </a:t>
          </a:r>
        </a:p>
      </dsp:txBody>
      <dsp:txXfrm rot="5400000">
        <a:off x="-33862" y="3052"/>
        <a:ext cx="4055248" cy="4669094"/>
      </dsp:txXfrm>
    </dsp:sp>
    <dsp:sp modelId="{8398B8C8-1F9C-4470-80A5-856E27700F1C}">
      <dsp:nvSpPr>
        <dsp:cNvPr id="0" name=""/>
        <dsp:cNvSpPr/>
      </dsp:nvSpPr>
      <dsp:spPr>
        <a:xfrm>
          <a:off x="3791285" y="0"/>
          <a:ext cx="3843655" cy="5431326"/>
        </a:xfrm>
        <a:prstGeom prst="round1Rect">
          <a:avLst/>
        </a:prstGeom>
        <a:gradFill rotWithShape="0">
          <a:gsLst>
            <a:gs pos="0">
              <a:schemeClr val="accent4">
                <a:hueOff val="3465231"/>
                <a:satOff val="-15989"/>
                <a:lumOff val="58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465231"/>
                <a:satOff val="-15989"/>
                <a:lumOff val="58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465231"/>
                <a:satOff val="-15989"/>
                <a:lumOff val="58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Planning</a:t>
          </a:r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 </a:t>
          </a:r>
        </a:p>
      </dsp:txBody>
      <dsp:txXfrm>
        <a:off x="3791285" y="0"/>
        <a:ext cx="3843655" cy="4073495"/>
      </dsp:txXfrm>
    </dsp:sp>
    <dsp:sp modelId="{25AB117B-77D8-4F9C-894A-2C4F55BD3AA6}">
      <dsp:nvSpPr>
        <dsp:cNvPr id="0" name=""/>
        <dsp:cNvSpPr/>
      </dsp:nvSpPr>
      <dsp:spPr>
        <a:xfrm rot="10800000">
          <a:off x="-37879" y="4531795"/>
          <a:ext cx="4131391" cy="4972728"/>
        </a:xfrm>
        <a:prstGeom prst="round1Rect">
          <a:avLst/>
        </a:prstGeom>
        <a:gradFill rotWithShape="0">
          <a:gsLst>
            <a:gs pos="0">
              <a:schemeClr val="accent4">
                <a:hueOff val="6930461"/>
                <a:satOff val="-31979"/>
                <a:lumOff val="117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930461"/>
                <a:satOff val="-31979"/>
                <a:lumOff val="117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930461"/>
                <a:satOff val="-31979"/>
                <a:lumOff val="117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Pedagodgy </a:t>
          </a:r>
        </a:p>
      </dsp:txBody>
      <dsp:txXfrm rot="10800000">
        <a:off x="-37879" y="5774978"/>
        <a:ext cx="4131391" cy="3729546"/>
      </dsp:txXfrm>
    </dsp:sp>
    <dsp:sp modelId="{A41532BC-C566-4BF4-A5D2-CBDE84A89C82}">
      <dsp:nvSpPr>
        <dsp:cNvPr id="0" name=""/>
        <dsp:cNvSpPr/>
      </dsp:nvSpPr>
      <dsp:spPr>
        <a:xfrm rot="5400000">
          <a:off x="3182771" y="5189380"/>
          <a:ext cx="4985423" cy="3679492"/>
        </a:xfrm>
        <a:prstGeom prst="round1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</dsp:txBody>
      <dsp:txXfrm rot="-5400000">
        <a:off x="3835736" y="5782771"/>
        <a:ext cx="3679492" cy="3739067"/>
      </dsp:txXfrm>
    </dsp:sp>
    <dsp:sp modelId="{967C68D6-9501-4A1B-BA23-5193E5838662}">
      <dsp:nvSpPr>
        <dsp:cNvPr id="0" name=""/>
        <dsp:cNvSpPr/>
      </dsp:nvSpPr>
      <dsp:spPr>
        <a:xfrm>
          <a:off x="2991482" y="4413229"/>
          <a:ext cx="1571001" cy="873140"/>
        </a:xfrm>
        <a:prstGeom prst="roundRect">
          <a:avLst/>
        </a:prstGeom>
        <a:gradFill rotWithShape="0">
          <a:gsLst>
            <a:gs pos="0">
              <a:schemeClr val="accent4">
                <a:tint val="4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tint val="4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tint val="4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Technology</a:t>
          </a:r>
        </a:p>
      </dsp:txBody>
      <dsp:txXfrm>
        <a:off x="3034105" y="4455852"/>
        <a:ext cx="1485755" cy="787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31E8661F5B4BB60971DBA5F4E284" ma:contentTypeVersion="18" ma:contentTypeDescription="Create a new document." ma:contentTypeScope="" ma:versionID="4ae9d3b5f2f3d9a1b1c0b8e5ea33cd63">
  <xsd:schema xmlns:xsd="http://www.w3.org/2001/XMLSchema" xmlns:xs="http://www.w3.org/2001/XMLSchema" xmlns:p="http://schemas.microsoft.com/office/2006/metadata/properties" xmlns:ns2="15b4a86a-df4e-42c4-9fb9-a16438e501c0" xmlns:ns3="82749ade-fd9e-449c-928a-3324f31820c5" targetNamespace="http://schemas.microsoft.com/office/2006/metadata/properties" ma:root="true" ma:fieldsID="309d3daddbe5a4ea1a63923ce26b8b68" ns2:_="" ns3:_="">
    <xsd:import namespace="15b4a86a-df4e-42c4-9fb9-a16438e501c0"/>
    <xsd:import namespace="82749ade-fd9e-449c-928a-3324f318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86a-df4e-42c4-9fb9-a16438e5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9ade-fd9e-449c-928a-3324f318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712e1-2b3d-4883-8dbe-af8101b0cf53}" ma:internalName="TaxCatchAll" ma:showField="CatchAllData" ma:web="82749ade-fd9e-449c-928a-3324f318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49ade-fd9e-449c-928a-3324f31820c5" xsi:nil="true"/>
    <lcf76f155ced4ddcb4097134ff3c332f xmlns="15b4a86a-df4e-42c4-9fb9-a16438e5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2FD92B-6DF4-4EF8-9D24-A87B0C3FC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E7220-925B-4E13-8AD8-93B1B5A2607F}"/>
</file>

<file path=customXml/itemProps3.xml><?xml version="1.0" encoding="utf-8"?>
<ds:datastoreItem xmlns:ds="http://schemas.openxmlformats.org/officeDocument/2006/customXml" ds:itemID="{0105B89C-7976-4B5D-BC04-020235DBAB1B}"/>
</file>

<file path=customXml/itemProps4.xml><?xml version="1.0" encoding="utf-8"?>
<ds:datastoreItem xmlns:ds="http://schemas.openxmlformats.org/officeDocument/2006/customXml" ds:itemID="{0042389C-2B70-4928-8378-1D743B3D4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O'Neill</dc:creator>
  <cp:keywords/>
  <dc:description/>
  <cp:lastModifiedBy>Tina O'Neill</cp:lastModifiedBy>
  <cp:revision>3</cp:revision>
  <dcterms:created xsi:type="dcterms:W3CDTF">2019-01-15T14:17:00Z</dcterms:created>
  <dcterms:modified xsi:type="dcterms:W3CDTF">2019-01-15T14:47:00Z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0x0101003BC931E8661F5B4BB60971DBA5F4E284</vt:lpwstr>
  </property>
</Properties>
</file>