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27" w:rsidRDefault="00F017D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4792980</wp:posOffset>
                </wp:positionV>
                <wp:extent cx="3306445" cy="40195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401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7D0" w:rsidRDefault="00F017D0" w:rsidP="00F017D0">
                            <w:pPr>
                              <w:ind w:left="1440"/>
                            </w:pPr>
                            <w:r>
                              <w:t xml:space="preserve">Falkirk Council’s Learning Resource Service (LRS) can provide a range of resources to support the teaching of social studies. </w:t>
                            </w:r>
                          </w:p>
                          <w:p w:rsidR="00F017D0" w:rsidRDefault="00F017D0" w:rsidP="00F017D0">
                            <w:pPr>
                              <w:ind w:left="1440"/>
                            </w:pPr>
                            <w:r>
                              <w:t xml:space="preserve">Requests for resources can be sent to </w:t>
                            </w:r>
                            <w:hyperlink r:id="rId6" w:history="1">
                              <w:r w:rsidRPr="00CD2711">
                                <w:rPr>
                                  <w:rStyle w:val="Hyperlink"/>
                                </w:rPr>
                                <w:t>lrs@falkirk.gov.uk</w:t>
                              </w:r>
                            </w:hyperlink>
                          </w:p>
                          <w:p w:rsidR="00F017D0" w:rsidRDefault="00F017D0" w:rsidP="00F017D0">
                            <w:pPr>
                              <w:ind w:left="1440"/>
                            </w:pPr>
                            <w:r>
                              <w:t>The National Improvement Hub (NIH) has a range of case studies and resources which can be used to support the teaching of Social Studies:</w:t>
                            </w:r>
                          </w:p>
                          <w:p w:rsidR="00F017D0" w:rsidRDefault="00396ECE" w:rsidP="00F017D0">
                            <w:hyperlink r:id="rId7" w:history="1">
                              <w:r w:rsidR="00F017D0" w:rsidRPr="00CD2711">
                                <w:rPr>
                                  <w:rStyle w:val="Hyperlink"/>
                                </w:rPr>
                                <w:t>https://education.gov.scot/improvement/Pages/Search.aspx?k=social%20studies</w:t>
                              </w:r>
                            </w:hyperlink>
                          </w:p>
                          <w:p w:rsidR="002809D2" w:rsidRPr="002809D2" w:rsidRDefault="002809D2" w:rsidP="002809D2">
                            <w:r w:rsidRPr="002809D2">
                              <w:t>Please see the principles and practice paper:</w:t>
                            </w:r>
                          </w:p>
                          <w:p w:rsidR="002809D2" w:rsidRPr="002809D2" w:rsidRDefault="00396ECE" w:rsidP="002809D2">
                            <w:hyperlink r:id="rId8" w:history="1">
                              <w:r w:rsidR="002809D2" w:rsidRPr="002809D2">
                                <w:rPr>
                                  <w:rStyle w:val="Hyperlink"/>
                                </w:rPr>
                                <w:t>https://education.gov.scot/Documents/social-studies-pp.pdf</w:t>
                              </w:r>
                            </w:hyperlink>
                          </w:p>
                          <w:p w:rsidR="002809D2" w:rsidRPr="002809D2" w:rsidRDefault="002809D2" w:rsidP="002809D2">
                            <w:r w:rsidRPr="002809D2">
                              <w:t>for more information.</w:t>
                            </w:r>
                          </w:p>
                          <w:p w:rsidR="002809D2" w:rsidRDefault="002809D2" w:rsidP="002809D2"/>
                          <w:p w:rsidR="00F017D0" w:rsidRDefault="00F017D0" w:rsidP="002809D2"/>
                          <w:p w:rsidR="00F017D0" w:rsidRDefault="00F017D0"/>
                          <w:p w:rsidR="00F017D0" w:rsidRDefault="00F017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5pt;margin-top:377.4pt;width:260.35pt;height:31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bdCwIAAPMDAAAOAAAAZHJzL2Uyb0RvYy54bWysU11v2yAUfZ+0/4B4X+ykdtdYIVXXrtOk&#10;7kNq9wMIxjEacBmQ2Nmv7wWnabS9TfODBdx7D+ece1ldj0aTvfRBgWV0PispkVZAq+yW0R9P9++u&#10;KAmR25ZrsJLRgwz0ev32zWpwjVxAD7qVniCIDc3gGO1jdE1RBNFLw8MMnLQY7MAbHnHrt0Xr+YDo&#10;RheLsrwsBvCt8yBkCHh6NwXpOuN3nRTxW9cFGYlmFLnF/Pf5v0n/Yr3izdZz1ytxpMH/gYXhyuKl&#10;J6g7HjnZefUXlFHCQ4AuzgSYArpOCZk1oJp5+Yeax547mbWgOcGdbAr/D1Z83X/3RLWM1pRYbrBF&#10;T3KM5AOMZJHcGVxoMOnRYVoc8Ri7nJUG9wDiZyAWbntut/LGexh6yVtkN0+VxVnphBMSyGb4Ai1e&#10;w3cRMtDYeZOsQzMIomOXDqfOJCoCDy8uysuqQooCY1U5X9Z17l3Bm5dy50P8JMGQtGDUY+szPN8/&#10;hJjo8OYlJd1m4V5pnduvLRkYXdaLOhecRYyKOJ1aGUavyvRN85JUfrRtLo5c6WmNF2h7lJ2UTprj&#10;uBkxMXmxgfaABniYphBfDS568L8pGXACGQ2/dtxLSvRniyYu51WVRjZvqvr9Ajf+PLI5j3ArEIrR&#10;SMm0vI15zCetN2h2p7INr0yOXHGysjvHV5BG93yfs17f6voZAAD//wMAUEsDBBQABgAIAAAAIQAp&#10;Dsv34AAAAA0BAAAPAAAAZHJzL2Rvd25yZXYueG1sTI9NT8MwDIbvSPyHyEjcWAKs9IOmEwJxBW2w&#10;SdyyxmsrGqdqsrX8e7wT3Gz51evnKVez68UJx9B50nC7UCCQam87ajR8frzeZCBCNGRN7wk1/GCA&#10;VXV5UZrC+onWeNrERnAJhcJoaGMcCilD3aIzYeEHJL4d/OhM5HVspB3NxOWul3dKPUhnOuIPrRnw&#10;ucX6e3N0GrZvh6/dUr03Ly4ZJj8rSS6XWl9fzU+PICLO8S8MZ3xGh4qZ9v5INoheQ5Lm7BI1pMmS&#10;Hc4JlecpiD1P91magaxK+d+i+gUAAP//AwBQSwECLQAUAAYACAAAACEAtoM4kv4AAADhAQAAEwAA&#10;AAAAAAAAAAAAAAAAAAAAW0NvbnRlbnRfVHlwZXNdLnhtbFBLAQItABQABgAIAAAAIQA4/SH/1gAA&#10;AJQBAAALAAAAAAAAAAAAAAAAAC8BAABfcmVscy8ucmVsc1BLAQItABQABgAIAAAAIQCSFKbdCwIA&#10;APMDAAAOAAAAAAAAAAAAAAAAAC4CAABkcnMvZTJvRG9jLnhtbFBLAQItABQABgAIAAAAIQApDsv3&#10;4AAAAA0BAAAPAAAAAAAAAAAAAAAAAGUEAABkcnMvZG93bnJldi54bWxQSwUGAAAAAAQABADzAAAA&#10;cgUAAAAA&#10;" filled="f" stroked="f">
                <v:textbox>
                  <w:txbxContent>
                    <w:p w:rsidR="00F017D0" w:rsidRDefault="00F017D0" w:rsidP="00F017D0">
                      <w:pPr>
                        <w:ind w:left="1440"/>
                      </w:pPr>
                      <w:r>
                        <w:t xml:space="preserve">Falkirk Council’s Learning Resource Service (LRS) can provide a range of resources to support the teaching of social studies. </w:t>
                      </w:r>
                    </w:p>
                    <w:p w:rsidR="00F017D0" w:rsidRDefault="00F017D0" w:rsidP="00F017D0">
                      <w:pPr>
                        <w:ind w:left="1440"/>
                      </w:pPr>
                      <w:r>
                        <w:t xml:space="preserve">Requests for resources can be sent to </w:t>
                      </w:r>
                      <w:hyperlink r:id="rId9" w:history="1">
                        <w:r w:rsidRPr="00CD2711">
                          <w:rPr>
                            <w:rStyle w:val="Hyperlink"/>
                          </w:rPr>
                          <w:t>lrs@falkirk.gov.uk</w:t>
                        </w:r>
                      </w:hyperlink>
                    </w:p>
                    <w:p w:rsidR="00F017D0" w:rsidRDefault="00F017D0" w:rsidP="00F017D0">
                      <w:pPr>
                        <w:ind w:left="1440"/>
                      </w:pPr>
                      <w:r>
                        <w:t>The National Improvement Hub (NIH) has a range of case studies and resources which can be used to support the teaching of Social Studies:</w:t>
                      </w:r>
                    </w:p>
                    <w:p w:rsidR="00F017D0" w:rsidRDefault="00F017D0" w:rsidP="00F017D0">
                      <w:hyperlink r:id="rId10" w:history="1">
                        <w:r w:rsidRPr="00CD2711">
                          <w:rPr>
                            <w:rStyle w:val="Hyperlink"/>
                          </w:rPr>
                          <w:t>https://education.gov.scot/improvement/Pages/Search.aspx?k=social%20studies</w:t>
                        </w:r>
                      </w:hyperlink>
                    </w:p>
                    <w:p w:rsidR="002809D2" w:rsidRPr="002809D2" w:rsidRDefault="002809D2" w:rsidP="002809D2">
                      <w:r w:rsidRPr="002809D2">
                        <w:t>Please see the principles and practice paper:</w:t>
                      </w:r>
                    </w:p>
                    <w:p w:rsidR="002809D2" w:rsidRPr="002809D2" w:rsidRDefault="002809D2" w:rsidP="002809D2">
                      <w:hyperlink r:id="rId11" w:history="1">
                        <w:r w:rsidRPr="002809D2">
                          <w:rPr>
                            <w:rStyle w:val="Hyperlink"/>
                          </w:rPr>
                          <w:t>https://education.gov.scot/Documents/social-studies-pp.pdf</w:t>
                        </w:r>
                      </w:hyperlink>
                    </w:p>
                    <w:p w:rsidR="002809D2" w:rsidRPr="002809D2" w:rsidRDefault="002809D2" w:rsidP="002809D2">
                      <w:proofErr w:type="gramStart"/>
                      <w:r w:rsidRPr="002809D2">
                        <w:t>for</w:t>
                      </w:r>
                      <w:proofErr w:type="gramEnd"/>
                      <w:r w:rsidRPr="002809D2">
                        <w:t xml:space="preserve"> more information.</w:t>
                      </w:r>
                    </w:p>
                    <w:p w:rsidR="002809D2" w:rsidRDefault="002809D2" w:rsidP="002809D2"/>
                    <w:p w:rsidR="00F017D0" w:rsidRDefault="00F017D0" w:rsidP="002809D2"/>
                    <w:p w:rsidR="00F017D0" w:rsidRDefault="00F017D0"/>
                    <w:p w:rsidR="00F017D0" w:rsidRDefault="00F017D0"/>
                  </w:txbxContent>
                </v:textbox>
                <w10:wrap type="square"/>
              </v:shape>
            </w:pict>
          </mc:Fallback>
        </mc:AlternateContent>
      </w:r>
      <w:r w:rsidR="004667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718A53" wp14:editId="7BD43F7B">
                <wp:simplePos x="0" y="0"/>
                <wp:positionH relativeFrom="column">
                  <wp:posOffset>3381375</wp:posOffset>
                </wp:positionH>
                <wp:positionV relativeFrom="paragraph">
                  <wp:posOffset>744855</wp:posOffset>
                </wp:positionV>
                <wp:extent cx="3667125" cy="58864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88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D5" w:rsidRPr="004667E9" w:rsidRDefault="000426D5" w:rsidP="00EE33B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Teachers have opportunities to combine statements of</w:t>
                            </w:r>
                            <w:r w:rsidR="004667E9"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Es</w:t>
                            </w: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4667E9"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Os</w:t>
                            </w: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in various ways. They can </w:t>
                            </w:r>
                            <w:r w:rsidR="004667E9"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group them around </w:t>
                            </w: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important concepts in social studies; they can </w:t>
                            </w:r>
                            <w:r w:rsidR="004667E9"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organise</w:t>
                            </w:r>
                            <w:r w:rsid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statements to provide a basis for a subject-based appr</w:t>
                            </w:r>
                            <w:r w:rsidR="004667E9"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oach; they can group Es</w:t>
                            </w: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4667E9"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Os</w:t>
                            </w: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around common learning contexts in social studies.</w:t>
                            </w:r>
                          </w:p>
                          <w:p w:rsidR="00C54820" w:rsidRPr="004667E9" w:rsidRDefault="00C54820" w:rsidP="004667E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4667E9">
                              <w:t>Use long-term plans to outline the structure of the year and the ways in which Social Studies is organised thro</w:t>
                            </w:r>
                            <w:r w:rsidR="004667E9">
                              <w:t>ughout the whole year.</w:t>
                            </w:r>
                          </w:p>
                          <w:p w:rsidR="000426D5" w:rsidRDefault="00F017D0" w:rsidP="00A43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017D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The Social Studies</w:t>
                            </w:r>
                            <w:r w:rsidR="000426D5" w:rsidRPr="00F017D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organisers recognise the special contribution made by each of the social subjects, whilst enabling them to reflect local contexts. Teachers will use this framework to provide </w:t>
                            </w:r>
                            <w:r w:rsidR="006A7EC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learners</w:t>
                            </w:r>
                            <w:r w:rsidR="000426D5" w:rsidRPr="00F017D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with opportunities for effective interdisciplinary working by making connections across and between subject boundaries. </w:t>
                            </w:r>
                            <w:r w:rsidR="00F91A0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Teachers will</w:t>
                            </w:r>
                            <w:r w:rsidR="006A7EC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plan together a local context for learning at the beginning of the year and a global dimension at the end of the session.</w:t>
                            </w:r>
                          </w:p>
                          <w:p w:rsidR="002809D2" w:rsidRPr="00F017D0" w:rsidRDefault="002809D2" w:rsidP="002809D2">
                            <w:pPr>
                              <w:pStyle w:val="ListParagraph"/>
                              <w:numPr>
                                <w:ilvl w:val="3"/>
                                <w:numId w:val="1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Planning should be supported by Falkirk Council’s Social Studies Progression Pathway</w:t>
                            </w:r>
                            <w:r w:rsidR="006A7EC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and national benchmarks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which can be found in shared area.</w:t>
                            </w:r>
                          </w:p>
                          <w:p w:rsidR="00C54820" w:rsidRPr="00C54820" w:rsidRDefault="00C54820" w:rsidP="004667E9">
                            <w:pPr>
                              <w:pStyle w:val="ListParagrap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5482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18A5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6.25pt;margin-top:58.65pt;width:288.75pt;height:46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R5DQIAAPoDAAAOAAAAZHJzL2Uyb0RvYy54bWysU9tuGyEQfa/Uf0C812s7tuOsvI7SpKkq&#10;pRcp6QeMWdaLCgwF7F336zOwjmOlb1V5QAzDnJlzZlhd90azvfRBoa34ZDTmTFqBtbLbiv98uv+w&#10;5CxEsDVotLLiBxn49fr9u1XnSjnFFnUtPSMQG8rOVbyN0ZVFEUQrDYQROmnJ2aA3EMn026L20BG6&#10;0cV0PF4UHfraeRQyBLq9G5x8nfGbRor4vWmCjExXnGqLefd536S9WK+g3HpwrRLHMuAfqjCgLCU9&#10;Qd1BBLbz6i8oo4THgE0cCTQFNo0SMnMgNpPxGzaPLTiZuZA4wZ1kCv8PVnzb//BM1RW/4MyCoRY9&#10;yT6yj9izaVKnc6GkR4+OnsWerqnLmWlwDyh+BWbxtgW7lTfeY9dKqKm6SYoszkIHnJBANt1XrCkN&#10;7CJmoL7xJklHYjBCpy4dTp1JpQi6vFgsLifTOWeCfPPlcjGb594VUL6EOx/iZ4mGpUPFPbU+w8P+&#10;IcRUDpQvT1I2i/dK69x+bVlX8as54b/xGBVpOrUyFV+O0xrmJbH8ZOscHEHp4UwJtD3STkwHzrHf&#10;9FnfrEmSZIP1gXTwOAwjfR46tOj/cNbRIFY8/N6Bl5zpL5a0vJrMZmlyszGbX07J8OeezbkHrCCo&#10;ikfOhuNtzNM+ELshzRuV1Xit5FgyDVgW6fgZ0gSf2/nV65ddPwMAAP//AwBQSwMEFAAGAAgAAAAh&#10;AA1EG1ffAAAADQEAAA8AAABkcnMvZG93bnJldi54bWxMj8FOwzAQRO9I/IO1SNyonSahEOJUCMQV&#10;1EKRuLnxNomI11HsNuHv2Z7gtqN5mp0p17PrxQnH0HnSkCwUCKTa244aDR/vLzd3IEI0ZE3vCTX8&#10;YIB1dXlRmsL6iTZ42sZGcAiFwmhoYxwKKUPdojNh4Qck9g5+dCayHBtpRzNxuOvlUqlb6UxH/KE1&#10;Az61WH9vj07D7vXw9Zmpt+bZ5cPkZyXJ3Uutr6/mxwcQEef4B8O5PleHijvt/ZFsEL2GPF3mjLKR&#10;rFIQZyJJFM/b86WyLAVZlfL/iuoXAAD//wMAUEsBAi0AFAAGAAgAAAAhALaDOJL+AAAA4QEAABMA&#10;AAAAAAAAAAAAAAAAAAAAAFtDb250ZW50X1R5cGVzXS54bWxQSwECLQAUAAYACAAAACEAOP0h/9YA&#10;AACUAQAACwAAAAAAAAAAAAAAAAAvAQAAX3JlbHMvLnJlbHNQSwECLQAUAAYACAAAACEAby0keQ0C&#10;AAD6AwAADgAAAAAAAAAAAAAAAAAuAgAAZHJzL2Uyb0RvYy54bWxQSwECLQAUAAYACAAAACEADUQb&#10;V98AAAANAQAADwAAAAAAAAAAAAAAAABnBAAAZHJzL2Rvd25yZXYueG1sUEsFBgAAAAAEAAQA8wAA&#10;AHMFAAAAAA==&#10;" filled="f" stroked="f">
                <v:textbox>
                  <w:txbxContent>
                    <w:p w:rsidR="000426D5" w:rsidRPr="004667E9" w:rsidRDefault="000426D5" w:rsidP="00EE33B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Teachers have opportunities to combine statements of</w:t>
                      </w:r>
                      <w:r w:rsidR="004667E9"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667E9"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="004667E9"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Os</w:t>
                      </w:r>
                      <w:proofErr w:type="spellEnd"/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in various ways. They can </w:t>
                      </w:r>
                      <w:r w:rsidR="004667E9"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group them around </w:t>
                      </w:r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important concepts in social studies; they can </w:t>
                      </w:r>
                      <w:r w:rsidR="004667E9"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organise</w:t>
                      </w:r>
                      <w:r w:rsid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statements to provide a basis for a subject-based appr</w:t>
                      </w:r>
                      <w:r w:rsidR="004667E9"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oach; they can group </w:t>
                      </w:r>
                      <w:proofErr w:type="spellStart"/>
                      <w:r w:rsidR="004667E9"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="004667E9"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Os</w:t>
                      </w:r>
                      <w:proofErr w:type="spellEnd"/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around common learning contexts in social studies.</w:t>
                      </w:r>
                    </w:p>
                    <w:p w:rsidR="00C54820" w:rsidRPr="004667E9" w:rsidRDefault="00C54820" w:rsidP="004667E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4667E9">
                        <w:t>Use long-term plans to outline the structure of the year and the ways in which Social Studies is organised thro</w:t>
                      </w:r>
                      <w:r w:rsidR="004667E9">
                        <w:t>ughout the whole year.</w:t>
                      </w:r>
                    </w:p>
                    <w:p w:rsidR="000426D5" w:rsidRDefault="00F017D0" w:rsidP="00A43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017D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The Social Studies</w:t>
                      </w:r>
                      <w:r w:rsidR="000426D5" w:rsidRPr="00F017D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organisers recognise the special contribution made by each of the social subjects, whilst enabling them to reflect local contexts. Teachers will use this framework to provide </w:t>
                      </w:r>
                      <w:r w:rsidR="006A7EC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learners</w:t>
                      </w:r>
                      <w:r w:rsidR="000426D5" w:rsidRPr="00F017D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with opportunities for effective interdisciplinary working by making connections across and between subject boundaries. </w:t>
                      </w:r>
                      <w:r w:rsidR="00F91A0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Teachers will</w:t>
                      </w:r>
                      <w:r w:rsidR="006A7EC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plan together a local context for learning at the beginning of the year and a global dimension at the end of the session.</w:t>
                      </w:r>
                    </w:p>
                    <w:p w:rsidR="002809D2" w:rsidRPr="00F017D0" w:rsidRDefault="002809D2" w:rsidP="002809D2">
                      <w:pPr>
                        <w:pStyle w:val="ListParagraph"/>
                        <w:numPr>
                          <w:ilvl w:val="3"/>
                          <w:numId w:val="1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Planning should be supported by Falkirk Council’s Social Studies Progression Pathway</w:t>
                      </w:r>
                      <w:r w:rsidR="006A7EC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and national benchmarks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which can be found in shared area.</w:t>
                      </w:r>
                    </w:p>
                    <w:p w:rsidR="00C54820" w:rsidRPr="00C54820" w:rsidRDefault="00C54820" w:rsidP="004667E9">
                      <w:pPr>
                        <w:pStyle w:val="ListParagraph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C54820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7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8ADC8B" wp14:editId="543BB41C">
                <wp:simplePos x="0" y="0"/>
                <wp:positionH relativeFrom="column">
                  <wp:posOffset>-390525</wp:posOffset>
                </wp:positionH>
                <wp:positionV relativeFrom="paragraph">
                  <wp:posOffset>4840605</wp:posOffset>
                </wp:positionV>
                <wp:extent cx="3829050" cy="41243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12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7E9" w:rsidRPr="002809D2" w:rsidRDefault="000426D5" w:rsidP="000426D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lang w:eastAsia="en-GB"/>
                              </w:rPr>
                            </w:pPr>
                            <w:r w:rsidRPr="000426D5">
                              <w:rPr>
                                <w:rFonts w:eastAsia="Times New Roman" w:cs="Arial"/>
                                <w:lang w:eastAsia="en-GB"/>
                              </w:rPr>
                              <w:t xml:space="preserve">In social studies, effective learning and </w:t>
                            </w:r>
                          </w:p>
                          <w:p w:rsidR="004667E9" w:rsidRPr="002809D2" w:rsidRDefault="000426D5" w:rsidP="000426D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lang w:eastAsia="en-GB"/>
                              </w:rPr>
                            </w:pPr>
                            <w:r w:rsidRPr="000426D5">
                              <w:rPr>
                                <w:rFonts w:eastAsia="Times New Roman" w:cs="Arial"/>
                                <w:lang w:eastAsia="en-GB"/>
                              </w:rPr>
                              <w:t xml:space="preserve">teaching will draw upon a variety of </w:t>
                            </w:r>
                          </w:p>
                          <w:p w:rsidR="000426D5" w:rsidRPr="000426D5" w:rsidRDefault="000426D5" w:rsidP="000426D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lang w:eastAsia="en-GB"/>
                              </w:rPr>
                            </w:pPr>
                            <w:r w:rsidRPr="000426D5">
                              <w:rPr>
                                <w:rFonts w:eastAsia="Times New Roman" w:cs="Arial"/>
                                <w:lang w:eastAsia="en-GB"/>
                              </w:rPr>
                              <w:t xml:space="preserve">approaches including: </w:t>
                            </w:r>
                          </w:p>
                          <w:p w:rsidR="004667E9" w:rsidRPr="002809D2" w:rsidRDefault="000426D5" w:rsidP="002809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active learning which provides </w:t>
                            </w:r>
                          </w:p>
                          <w:p w:rsidR="004667E9" w:rsidRPr="002809D2" w:rsidRDefault="000426D5" w:rsidP="002809D2">
                            <w:pPr>
                              <w:pStyle w:val="ListParagrap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opportunities to observe, explore, </w:t>
                            </w:r>
                          </w:p>
                          <w:p w:rsidR="000426D5" w:rsidRPr="002809D2" w:rsidRDefault="000426D5" w:rsidP="002809D2">
                            <w:pPr>
                              <w:pStyle w:val="ListParagrap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experiment and play </w:t>
                            </w:r>
                          </w:p>
                          <w:p w:rsidR="002809D2" w:rsidRDefault="000426D5" w:rsidP="002809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use of relevant contexts and </w:t>
                            </w:r>
                          </w:p>
                          <w:p w:rsidR="002809D2" w:rsidRDefault="000426D5" w:rsidP="002809D2">
                            <w:pPr>
                              <w:pStyle w:val="ListParagrap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experiences familiar to children and </w:t>
                            </w:r>
                          </w:p>
                          <w:p w:rsidR="000426D5" w:rsidRPr="002809D2" w:rsidRDefault="000426D5" w:rsidP="002809D2">
                            <w:pPr>
                              <w:pStyle w:val="ListParagrap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young people </w:t>
                            </w:r>
                          </w:p>
                          <w:p w:rsidR="002809D2" w:rsidRDefault="000426D5" w:rsidP="002809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appropriate and effective use of </w:t>
                            </w:r>
                          </w:p>
                          <w:p w:rsidR="000426D5" w:rsidRPr="002809D2" w:rsidRDefault="000426D5" w:rsidP="002809D2">
                            <w:pPr>
                              <w:pStyle w:val="ListParagrap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technology </w:t>
                            </w:r>
                          </w:p>
                          <w:p w:rsidR="002809D2" w:rsidRPr="002809D2" w:rsidRDefault="000426D5" w:rsidP="002809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building on the principles of Assessment is </w:t>
                            </w:r>
                          </w:p>
                          <w:p w:rsidR="000426D5" w:rsidRPr="002809D2" w:rsidRDefault="000426D5" w:rsidP="002809D2">
                            <w:pPr>
                              <w:pStyle w:val="ListParagrap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for Learning </w:t>
                            </w:r>
                          </w:p>
                          <w:p w:rsidR="000426D5" w:rsidRPr="002809D2" w:rsidRDefault="000426D5" w:rsidP="002809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both collaborative and independent learning </w:t>
                            </w:r>
                          </w:p>
                          <w:p w:rsidR="000426D5" w:rsidRPr="002809D2" w:rsidRDefault="000426D5" w:rsidP="002809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discussion and informed debate </w:t>
                            </w:r>
                          </w:p>
                          <w:p w:rsidR="000426D5" w:rsidRPr="002809D2" w:rsidRDefault="000426D5" w:rsidP="002809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interdisciplinary learning experiences </w:t>
                            </w:r>
                          </w:p>
                          <w:p w:rsidR="000426D5" w:rsidRPr="002809D2" w:rsidRDefault="000426D5" w:rsidP="002809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learning outdoors, field trips, visits</w:t>
                            </w:r>
                            <w:r w:rsidR="002809D2"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09D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and input by external contributors. </w:t>
                            </w:r>
                          </w:p>
                          <w:p w:rsidR="00A57A66" w:rsidRPr="002809D2" w:rsidRDefault="00A57A66" w:rsidP="000426D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lang w:eastAsia="en-GB"/>
                              </w:rPr>
                            </w:pPr>
                          </w:p>
                          <w:p w:rsidR="00A57A66" w:rsidRPr="002809D2" w:rsidRDefault="00A57A66" w:rsidP="00A57A66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lang w:eastAsia="en-GB"/>
                              </w:rPr>
                            </w:pPr>
                            <w:r w:rsidRPr="00A57A66">
                              <w:rPr>
                                <w:rFonts w:eastAsia="Times New Roman" w:cs="Arial"/>
                                <w:lang w:eastAsia="en-GB"/>
                              </w:rPr>
                              <w:t xml:space="preserve">With greater understanding comes the opportunity and ability to influence events by exercising informed and responsible citizenship. </w:t>
                            </w:r>
                          </w:p>
                          <w:p w:rsidR="000426D5" w:rsidRDefault="00042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DC8B" id="_x0000_s1028" type="#_x0000_t202" style="position:absolute;margin-left:-30.75pt;margin-top:381.15pt;width:301.5pt;height:3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jmCwIAAPoDAAAOAAAAZHJzL2Uyb0RvYy54bWysU9uO2yAQfa/Uf0C8N3a8TptYIavtbreq&#10;tL1Iu/0AgnGMCgwFEjv9+g44m0bbt6o8oIEZzsw5M6yvR6PJQfqgwDI6n5WUSCugVXbH6Pen+zdL&#10;SkLktuUarGT0KAO93rx+tR5cIyvoQbfSEwSxoRkco32MrimKIHppeJiBkxadHXjDIx79rmg9HxDd&#10;6KIqy7fFAL51HoQMAW/vJifdZPyukyJ+7bogI9GMYm0x7z7v27QXmzVvdp67XolTGfwfqjBcWUx6&#10;hrrjkZO9V39BGSU8BOjiTIApoOuUkJkDspmXL9g89tzJzAXFCe4sU/h/sOLL4ZsnqmW0psRygy16&#10;kmMk72EkVVJncKHBoEeHYXHEa+xyZhrcA4gfgVi47bndyRvvYeglb7G6eXpZXDydcEIC2Q6focU0&#10;fB8hA42dN0k6FIMgOnbpeO5MKkXg5dWyWpULdAn01fOqvqoWOQdvnp87H+JHCYYkg1GPrc/w/PAQ&#10;YiqHN88hKZuFe6V1br+2ZGB0tUDIFx6jIk6nVobRZZnWNC+J5Qfb5seRKz3ZmEDbE+3EdOIcx+2Y&#10;9T2ruYX2iDp4mIYRPw8aPfhflAw4iIyGn3vuJSX6k0UtV/O6TpObD/XiXYUHf+nZXnq4FQjFaKRk&#10;Mm9jnvaJ2A1q3qmsRmrOVMmpZBywLNLpM6QJvjznqD9fdvMbAAD//wMAUEsDBBQABgAIAAAAIQAx&#10;CoXl3wAAAAwBAAAPAAAAZHJzL2Rvd25yZXYueG1sTI9NT8MwDIbvSPyHyEjctqSjLaM0nRCIK2jj&#10;Q+KWNV5b0ThVk63l3+Od4Gj70evnLTez68UJx9B50pAsFQik2tuOGg3vb8+LNYgQDVnTe0INPxhg&#10;U11elKawfqItnnaxERxCoTAa2hiHQspQt+hMWPoBiW8HPzoTeRwbaUczcbjr5UqpXDrTEX9ozYCP&#10;Ldbfu6PT8PFy+PpM1Wvz5LJh8rOS5O6k1tdX88M9iIhz/IPhrM/qULHT3h/JBtFrWORJxqiG23x1&#10;A4KJLD1v9oymSbIGWZXyf4nqFwAA//8DAFBLAQItABQABgAIAAAAIQC2gziS/gAAAOEBAAATAAAA&#10;AAAAAAAAAAAAAAAAAABbQ29udGVudF9UeXBlc10ueG1sUEsBAi0AFAAGAAgAAAAhADj9If/WAAAA&#10;lAEAAAsAAAAAAAAAAAAAAAAALwEAAF9yZWxzLy5yZWxzUEsBAi0AFAAGAAgAAAAhAKnECOYLAgAA&#10;+gMAAA4AAAAAAAAAAAAAAAAALgIAAGRycy9lMm9Eb2MueG1sUEsBAi0AFAAGAAgAAAAhADEKheXf&#10;AAAADAEAAA8AAAAAAAAAAAAAAAAAZQQAAGRycy9kb3ducmV2LnhtbFBLBQYAAAAABAAEAPMAAABx&#10;BQAAAAA=&#10;" filled="f" stroked="f">
                <v:textbox>
                  <w:txbxContent>
                    <w:p w:rsidR="004667E9" w:rsidRPr="002809D2" w:rsidRDefault="000426D5" w:rsidP="000426D5">
                      <w:pPr>
                        <w:spacing w:after="0" w:line="240" w:lineRule="auto"/>
                        <w:rPr>
                          <w:rFonts w:eastAsia="Times New Roman" w:cs="Arial"/>
                          <w:lang w:eastAsia="en-GB"/>
                        </w:rPr>
                      </w:pPr>
                      <w:r w:rsidRPr="000426D5">
                        <w:rPr>
                          <w:rFonts w:eastAsia="Times New Roman" w:cs="Arial"/>
                          <w:lang w:eastAsia="en-GB"/>
                        </w:rPr>
                        <w:t xml:space="preserve">In social studies, effective learning and </w:t>
                      </w:r>
                    </w:p>
                    <w:p w:rsidR="004667E9" w:rsidRPr="002809D2" w:rsidRDefault="000426D5" w:rsidP="000426D5">
                      <w:pPr>
                        <w:spacing w:after="0" w:line="240" w:lineRule="auto"/>
                        <w:rPr>
                          <w:rFonts w:eastAsia="Times New Roman" w:cs="Arial"/>
                          <w:lang w:eastAsia="en-GB"/>
                        </w:rPr>
                      </w:pPr>
                      <w:proofErr w:type="gramStart"/>
                      <w:r w:rsidRPr="000426D5">
                        <w:rPr>
                          <w:rFonts w:eastAsia="Times New Roman" w:cs="Arial"/>
                          <w:lang w:eastAsia="en-GB"/>
                        </w:rPr>
                        <w:t>teaching</w:t>
                      </w:r>
                      <w:proofErr w:type="gramEnd"/>
                      <w:r w:rsidRPr="000426D5">
                        <w:rPr>
                          <w:rFonts w:eastAsia="Times New Roman" w:cs="Arial"/>
                          <w:lang w:eastAsia="en-GB"/>
                        </w:rPr>
                        <w:t xml:space="preserve"> will draw upon a variety of </w:t>
                      </w:r>
                    </w:p>
                    <w:p w:rsidR="000426D5" w:rsidRPr="000426D5" w:rsidRDefault="000426D5" w:rsidP="000426D5">
                      <w:pPr>
                        <w:spacing w:after="0" w:line="240" w:lineRule="auto"/>
                        <w:rPr>
                          <w:rFonts w:eastAsia="Times New Roman" w:cs="Arial"/>
                          <w:lang w:eastAsia="en-GB"/>
                        </w:rPr>
                      </w:pPr>
                      <w:proofErr w:type="gramStart"/>
                      <w:r w:rsidRPr="000426D5">
                        <w:rPr>
                          <w:rFonts w:eastAsia="Times New Roman" w:cs="Arial"/>
                          <w:lang w:eastAsia="en-GB"/>
                        </w:rPr>
                        <w:t>approaches</w:t>
                      </w:r>
                      <w:proofErr w:type="gramEnd"/>
                      <w:r w:rsidRPr="000426D5">
                        <w:rPr>
                          <w:rFonts w:eastAsia="Times New Roman" w:cs="Arial"/>
                          <w:lang w:eastAsia="en-GB"/>
                        </w:rPr>
                        <w:t xml:space="preserve"> including: </w:t>
                      </w:r>
                    </w:p>
                    <w:p w:rsidR="004667E9" w:rsidRPr="002809D2" w:rsidRDefault="000426D5" w:rsidP="002809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active learning which provides </w:t>
                      </w:r>
                    </w:p>
                    <w:p w:rsidR="004667E9" w:rsidRPr="002809D2" w:rsidRDefault="000426D5" w:rsidP="002809D2">
                      <w:pPr>
                        <w:pStyle w:val="ListParagrap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opportunities</w:t>
                      </w:r>
                      <w:proofErr w:type="gramEnd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to observe, explore, </w:t>
                      </w:r>
                    </w:p>
                    <w:p w:rsidR="000426D5" w:rsidRPr="002809D2" w:rsidRDefault="000426D5" w:rsidP="002809D2">
                      <w:pPr>
                        <w:pStyle w:val="ListParagrap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experiment</w:t>
                      </w:r>
                      <w:proofErr w:type="gramEnd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and play </w:t>
                      </w:r>
                    </w:p>
                    <w:p w:rsidR="002809D2" w:rsidRDefault="000426D5" w:rsidP="002809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use of relevant contexts and </w:t>
                      </w:r>
                    </w:p>
                    <w:p w:rsidR="002809D2" w:rsidRDefault="000426D5" w:rsidP="002809D2">
                      <w:pPr>
                        <w:pStyle w:val="ListParagrap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experiences</w:t>
                      </w:r>
                      <w:proofErr w:type="gramEnd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familiar to children and </w:t>
                      </w:r>
                    </w:p>
                    <w:p w:rsidR="000426D5" w:rsidRPr="002809D2" w:rsidRDefault="000426D5" w:rsidP="002809D2">
                      <w:pPr>
                        <w:pStyle w:val="ListParagrap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young</w:t>
                      </w:r>
                      <w:proofErr w:type="gramEnd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people </w:t>
                      </w:r>
                    </w:p>
                    <w:p w:rsidR="002809D2" w:rsidRDefault="000426D5" w:rsidP="002809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appropriate and effective use of </w:t>
                      </w:r>
                    </w:p>
                    <w:p w:rsidR="000426D5" w:rsidRPr="002809D2" w:rsidRDefault="000426D5" w:rsidP="002809D2">
                      <w:pPr>
                        <w:pStyle w:val="ListParagrap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technology</w:t>
                      </w:r>
                      <w:proofErr w:type="gramEnd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809D2" w:rsidRPr="002809D2" w:rsidRDefault="000426D5" w:rsidP="002809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building on the principles of Assessment is </w:t>
                      </w:r>
                    </w:p>
                    <w:p w:rsidR="000426D5" w:rsidRPr="002809D2" w:rsidRDefault="000426D5" w:rsidP="002809D2">
                      <w:pPr>
                        <w:pStyle w:val="ListParagrap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for</w:t>
                      </w:r>
                      <w:proofErr w:type="gramEnd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Learning </w:t>
                      </w:r>
                    </w:p>
                    <w:p w:rsidR="000426D5" w:rsidRPr="002809D2" w:rsidRDefault="000426D5" w:rsidP="002809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both collaborative and independent learning </w:t>
                      </w:r>
                    </w:p>
                    <w:p w:rsidR="000426D5" w:rsidRPr="002809D2" w:rsidRDefault="000426D5" w:rsidP="002809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discussion and informed debate </w:t>
                      </w:r>
                    </w:p>
                    <w:p w:rsidR="000426D5" w:rsidRPr="002809D2" w:rsidRDefault="000426D5" w:rsidP="002809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interdisciplinary learning experiences </w:t>
                      </w:r>
                    </w:p>
                    <w:p w:rsidR="000426D5" w:rsidRPr="002809D2" w:rsidRDefault="000426D5" w:rsidP="002809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learning</w:t>
                      </w:r>
                      <w:proofErr w:type="gramEnd"/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outdoors, field trips, visits</w:t>
                      </w:r>
                      <w:r w:rsidR="002809D2"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Pr="002809D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and input by external contributors. </w:t>
                      </w:r>
                    </w:p>
                    <w:p w:rsidR="00A57A66" w:rsidRPr="002809D2" w:rsidRDefault="00A57A66" w:rsidP="000426D5">
                      <w:pPr>
                        <w:spacing w:after="0" w:line="240" w:lineRule="auto"/>
                        <w:rPr>
                          <w:rFonts w:eastAsia="Times New Roman" w:cs="Arial"/>
                          <w:lang w:eastAsia="en-GB"/>
                        </w:rPr>
                      </w:pPr>
                    </w:p>
                    <w:p w:rsidR="00A57A66" w:rsidRPr="002809D2" w:rsidRDefault="00A57A66" w:rsidP="00A57A66">
                      <w:pPr>
                        <w:spacing w:after="0" w:line="240" w:lineRule="auto"/>
                        <w:rPr>
                          <w:rFonts w:eastAsia="Times New Roman" w:cs="Arial"/>
                          <w:lang w:eastAsia="en-GB"/>
                        </w:rPr>
                      </w:pPr>
                      <w:r w:rsidRPr="00A57A66">
                        <w:rPr>
                          <w:rFonts w:eastAsia="Times New Roman" w:cs="Arial"/>
                          <w:lang w:eastAsia="en-GB"/>
                        </w:rPr>
                        <w:t xml:space="preserve">With greater understanding comes the opportunity and ability to influence events by exercising informed and responsible citizenship. </w:t>
                      </w:r>
                    </w:p>
                    <w:p w:rsidR="000426D5" w:rsidRDefault="000426D5"/>
                  </w:txbxContent>
                </v:textbox>
                <w10:wrap type="square"/>
              </v:shape>
            </w:pict>
          </mc:Fallback>
        </mc:AlternateContent>
      </w:r>
      <w:r w:rsidR="002942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763905</wp:posOffset>
                </wp:positionV>
                <wp:extent cx="3705225" cy="3943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94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D5" w:rsidRPr="004667E9" w:rsidRDefault="000426D5" w:rsidP="000426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Assessment in social studies will focus on </w:t>
                            </w:r>
                            <w:r w:rsidR="006A7EC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learner’s </w:t>
                            </w:r>
                            <w:r w:rsidR="006A7ECC"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knowledge</w:t>
                            </w: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, understanding and skills in their studies of people, past events, society, place, environment, economy and business. </w:t>
                            </w:r>
                          </w:p>
                          <w:p w:rsidR="002942F0" w:rsidRPr="004667E9" w:rsidRDefault="002942F0" w:rsidP="000426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667E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Social Studies assessment can take place across </w:t>
                            </w:r>
                            <w:r w:rsidR="00C54820" w:rsidRPr="004667E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all</w:t>
                            </w:r>
                            <w:r w:rsidRPr="004667E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four contexts for learning:</w:t>
                            </w:r>
                          </w:p>
                          <w:p w:rsidR="00146271" w:rsidRPr="004667E9" w:rsidRDefault="005D0BD6" w:rsidP="000426D5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667E9">
                              <w:rPr>
                                <w:rFonts w:asciiTheme="minorHAnsi" w:eastAsiaTheme="minorEastAsia" w:hAnsiTheme="minorHAnsi"/>
                                <w:bCs/>
                                <w:sz w:val="22"/>
                                <w:szCs w:val="22"/>
                              </w:rPr>
                              <w:t>Ethos and life of school as a community</w:t>
                            </w:r>
                          </w:p>
                          <w:p w:rsidR="00146271" w:rsidRPr="004667E9" w:rsidRDefault="005D0BD6" w:rsidP="000426D5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667E9">
                              <w:rPr>
                                <w:rFonts w:asciiTheme="minorHAnsi" w:eastAsiaTheme="minorEastAsia" w:hAnsiTheme="minorHAnsi"/>
                                <w:bCs/>
                                <w:sz w:val="22"/>
                                <w:szCs w:val="22"/>
                              </w:rPr>
                              <w:t>Curriculum areas and subjects</w:t>
                            </w:r>
                          </w:p>
                          <w:p w:rsidR="00146271" w:rsidRPr="004667E9" w:rsidRDefault="005D0BD6" w:rsidP="000426D5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667E9">
                              <w:rPr>
                                <w:rFonts w:asciiTheme="minorHAnsi" w:eastAsiaTheme="minorEastAsia" w:hAnsiTheme="minorHAnsi"/>
                                <w:bCs/>
                                <w:sz w:val="22"/>
                                <w:szCs w:val="22"/>
                              </w:rPr>
                              <w:t>Interdisciplinary learning (IDL)</w:t>
                            </w:r>
                          </w:p>
                          <w:p w:rsidR="002942F0" w:rsidRPr="004667E9" w:rsidRDefault="005D0BD6" w:rsidP="000426D5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667E9">
                              <w:rPr>
                                <w:rFonts w:asciiTheme="minorHAnsi" w:eastAsiaTheme="minorEastAsia" w:hAnsiTheme="minorHAnsi"/>
                                <w:bCs/>
                                <w:sz w:val="22"/>
                                <w:szCs w:val="22"/>
                              </w:rPr>
                              <w:t>Opportunities for personal achievement</w:t>
                            </w:r>
                          </w:p>
                          <w:p w:rsidR="00C37EDF" w:rsidRPr="004667E9" w:rsidRDefault="00C37EDF" w:rsidP="000426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667E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Social Studies assessment can also take place through termly holistic assessments.</w:t>
                            </w:r>
                          </w:p>
                          <w:p w:rsidR="00C37EDF" w:rsidRPr="004667E9" w:rsidRDefault="002942F0" w:rsidP="000426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667E9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Assessment for P1, P4 and P7 will be supported by the Benchmarks. All other stages will be supported by the statements on the progression pathways.</w:t>
                            </w:r>
                          </w:p>
                          <w:p w:rsidR="004667E9" w:rsidRDefault="000426D5" w:rsidP="00E668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Assessment should also link with other areas of the curriculum, within and outside the classroom, offering </w:t>
                            </w:r>
                            <w:r w:rsidR="006A7EC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pupils</w:t>
                            </w: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opportunities to develop awareness of social issues such as sustainability and enterprise through field trips, visits to local </w:t>
                            </w:r>
                          </w:p>
                          <w:p w:rsidR="004667E9" w:rsidRDefault="000426D5" w:rsidP="004667E9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and national heritage sites, and meetings </w:t>
                            </w:r>
                          </w:p>
                          <w:p w:rsidR="000426D5" w:rsidRPr="004667E9" w:rsidRDefault="000426D5" w:rsidP="004667E9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4667E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with members of the community. </w:t>
                            </w:r>
                          </w:p>
                          <w:p w:rsidR="002942F0" w:rsidRDefault="002942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pt;margin-top:60.15pt;width:291.75pt;height:31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rADwIAAPwDAAAOAAAAZHJzL2Uyb0RvYy54bWysU9tuGyEQfa/Uf0C817te2028Mo7SpKkq&#10;pRcp6QdglvWiAkMBe9f9+gys7VrpW1UeEMPAYc6Zw+pmMJrspQ8KLKPTSUmJtAIaZbeM/nh+eHdN&#10;SYjcNlyDlYweZKA367dvVr2rZQUd6EZ6giA21L1jtIvR1UURRCcNDxNw0mKyBW94xNBvi8bzHtGN&#10;LqqyfF/04BvnQcgQcPd+TNJ1xm9bKeK3tg0yEs0o1hbz7PO8SXOxXvF667nrlDiWwf+hCsOVxUfP&#10;UPc8crLz6i8oo4SHAG2cCDAFtK0SMnNANtPyFZunjjuZuaA4wZ1lCv8PVnzdf/dENYxW0ytKLDfY&#10;pGc5RPIBBlIlfXoXajz25PBgHHAb+5y5BvcI4mcgFu46brfy1nvoO8kbrG+abhYXV0eckEA2/Rdo&#10;8Bm+i5CBhtabJB7KQRAd+3Q49yaVInBzdlUuqmpBicDcbDmfzRa5ewWvT9edD/GTBEPSglGPzc/w&#10;fP8YYiqH16cj6TULD0rrbABtSc/ocoH4rzJGRfSnVobR6zKN0TGJ5Ufb5MuRKz2u8QFtj7QT05Fz&#10;HDZDVnh2UnMDzQF18DDaEb8PLjrwvynp0YqMhl877iUl+rNFLZfT+Tx5NwfzxVWFgb/MbC4z3AqE&#10;YjRSMi7vYvb7SOwWNW9VViM1Z6zkWDJaLIt0/A7Jw5dxPvXn065fAAAA//8DAFBLAwQUAAYACAAA&#10;ACEAlI/zoOAAAAALAQAADwAAAGRycy9kb3ducmV2LnhtbEyPzU7DMBCE70i8g7WVuLV2k6ZAGqdC&#10;IK5FlB+Jmxtvk4h4HcVuE96e7QmOoxnNfFNsJ9eJMw6h9aRhuVAgkCpvW6o1vL89z+9AhGjIms4T&#10;avjBANvy+qowufUjveJ5H2vBJRRyo6GJsc+lDFWDzoSF75HYO/rBmchyqKUdzMjlrpOJUmvpTEu8&#10;0JgeHxusvvcnp+Fjd/z6XKmX+sll/egnJcndS61vZtPDBkTEKf6F4YLP6FAy08GfyAbRaZivFX+J&#10;bCQqBcGJLEkzEAcNt6tlCrIs5P8P5S8AAAD//wMAUEsBAi0AFAAGAAgAAAAhALaDOJL+AAAA4QEA&#10;ABMAAAAAAAAAAAAAAAAAAAAAAFtDb250ZW50X1R5cGVzXS54bWxQSwECLQAUAAYACAAAACEAOP0h&#10;/9YAAACUAQAACwAAAAAAAAAAAAAAAAAvAQAAX3JlbHMvLnJlbHNQSwECLQAUAAYACAAAACEAE/0a&#10;wA8CAAD8AwAADgAAAAAAAAAAAAAAAAAuAgAAZHJzL2Uyb0RvYy54bWxQSwECLQAUAAYACAAAACEA&#10;lI/zoOAAAAALAQAADwAAAAAAAAAAAAAAAABpBAAAZHJzL2Rvd25yZXYueG1sUEsFBgAAAAAEAAQA&#10;8wAAAHYFAAAAAA==&#10;" filled="f" stroked="f">
                <v:textbox>
                  <w:txbxContent>
                    <w:p w:rsidR="000426D5" w:rsidRPr="004667E9" w:rsidRDefault="000426D5" w:rsidP="000426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Assessment in social studies will focus on </w:t>
                      </w:r>
                      <w:r w:rsidR="006A7EC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learner’s </w:t>
                      </w:r>
                      <w:bookmarkStart w:id="1" w:name="_GoBack"/>
                      <w:bookmarkEnd w:id="1"/>
                      <w:r w:rsidR="006A7ECC"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knowledge</w:t>
                      </w:r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, understanding and skills in their studies of people, past events, society, place, environment, economy and business. </w:t>
                      </w:r>
                    </w:p>
                    <w:p w:rsidR="002942F0" w:rsidRPr="004667E9" w:rsidRDefault="002942F0" w:rsidP="000426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667E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Social Studies assessment can take place across </w:t>
                      </w:r>
                      <w:r w:rsidR="00C54820" w:rsidRPr="004667E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all</w:t>
                      </w:r>
                      <w:r w:rsidRPr="004667E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four contexts for learning:</w:t>
                      </w:r>
                    </w:p>
                    <w:p w:rsidR="00146271" w:rsidRPr="004667E9" w:rsidRDefault="005D0BD6" w:rsidP="000426D5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667E9">
                        <w:rPr>
                          <w:rFonts w:asciiTheme="minorHAnsi" w:eastAsiaTheme="minorEastAsia" w:hAnsiTheme="minorHAnsi"/>
                          <w:bCs/>
                          <w:sz w:val="22"/>
                          <w:szCs w:val="22"/>
                        </w:rPr>
                        <w:t>Ethos and life of school as a community</w:t>
                      </w:r>
                    </w:p>
                    <w:p w:rsidR="00146271" w:rsidRPr="004667E9" w:rsidRDefault="005D0BD6" w:rsidP="000426D5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667E9">
                        <w:rPr>
                          <w:rFonts w:asciiTheme="minorHAnsi" w:eastAsiaTheme="minorEastAsia" w:hAnsiTheme="minorHAnsi"/>
                          <w:bCs/>
                          <w:sz w:val="22"/>
                          <w:szCs w:val="22"/>
                        </w:rPr>
                        <w:t>Curriculum areas and subjects</w:t>
                      </w:r>
                    </w:p>
                    <w:p w:rsidR="00146271" w:rsidRPr="004667E9" w:rsidRDefault="005D0BD6" w:rsidP="000426D5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667E9">
                        <w:rPr>
                          <w:rFonts w:asciiTheme="minorHAnsi" w:eastAsiaTheme="minorEastAsia" w:hAnsiTheme="minorHAnsi"/>
                          <w:bCs/>
                          <w:sz w:val="22"/>
                          <w:szCs w:val="22"/>
                        </w:rPr>
                        <w:t>Interdisciplinary learning (IDL)</w:t>
                      </w:r>
                    </w:p>
                    <w:p w:rsidR="002942F0" w:rsidRPr="004667E9" w:rsidRDefault="005D0BD6" w:rsidP="000426D5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667E9">
                        <w:rPr>
                          <w:rFonts w:asciiTheme="minorHAnsi" w:eastAsiaTheme="minorEastAsia" w:hAnsiTheme="minorHAnsi"/>
                          <w:bCs/>
                          <w:sz w:val="22"/>
                          <w:szCs w:val="22"/>
                        </w:rPr>
                        <w:t>Opportunities for personal achievement</w:t>
                      </w:r>
                    </w:p>
                    <w:p w:rsidR="00C37EDF" w:rsidRPr="004667E9" w:rsidRDefault="00C37EDF" w:rsidP="000426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667E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Social Studies assessment can also take place through termly holistic assessments.</w:t>
                      </w:r>
                    </w:p>
                    <w:p w:rsidR="00C37EDF" w:rsidRPr="004667E9" w:rsidRDefault="002942F0" w:rsidP="000426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667E9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Assessment for P1, P4 and P7 will be supported by the Benchmarks. All other stages will be supported by the statements on the progression pathways.</w:t>
                      </w:r>
                    </w:p>
                    <w:p w:rsidR="004667E9" w:rsidRDefault="000426D5" w:rsidP="00E668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Assessment should also link with other areas of the curriculum, within and outside the classroom, offering </w:t>
                      </w:r>
                      <w:r w:rsidR="006A7EC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pupils</w:t>
                      </w:r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opportunities to develop awareness of social issues such as sustainability and enterprise through field trips, visits to local </w:t>
                      </w:r>
                    </w:p>
                    <w:p w:rsidR="004667E9" w:rsidRDefault="000426D5" w:rsidP="004667E9">
                      <w:pPr>
                        <w:pStyle w:val="ListParagraph"/>
                        <w:ind w:left="360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national heritage sites, and meetings </w:t>
                      </w:r>
                    </w:p>
                    <w:p w:rsidR="000426D5" w:rsidRPr="004667E9" w:rsidRDefault="000426D5" w:rsidP="004667E9">
                      <w:pPr>
                        <w:pStyle w:val="ListParagraph"/>
                        <w:ind w:left="360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with</w:t>
                      </w:r>
                      <w:proofErr w:type="gramEnd"/>
                      <w:r w:rsidRPr="004667E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members of the community. </w:t>
                      </w:r>
                    </w:p>
                    <w:p w:rsidR="002942F0" w:rsidRDefault="002942F0"/>
                  </w:txbxContent>
                </v:textbox>
                <w10:wrap type="square"/>
              </v:shape>
            </w:pict>
          </mc:Fallback>
        </mc:AlternateContent>
      </w:r>
      <w:r w:rsidR="001F751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38100</wp:posOffset>
            </wp:positionV>
            <wp:extent cx="7687310" cy="10804525"/>
            <wp:effectExtent l="7620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911527" w:rsidSect="001F7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A2D"/>
    <w:multiLevelType w:val="hybridMultilevel"/>
    <w:tmpl w:val="AE929268"/>
    <w:lvl w:ilvl="0" w:tplc="C8029A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3F44705"/>
    <w:multiLevelType w:val="hybridMultilevel"/>
    <w:tmpl w:val="B120CF8A"/>
    <w:lvl w:ilvl="0" w:tplc="C8029A4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FBB2F65"/>
    <w:multiLevelType w:val="hybridMultilevel"/>
    <w:tmpl w:val="05CCB59E"/>
    <w:lvl w:ilvl="0" w:tplc="C8029A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235FD"/>
    <w:multiLevelType w:val="hybridMultilevel"/>
    <w:tmpl w:val="DBEA1CC6"/>
    <w:lvl w:ilvl="0" w:tplc="C8029A4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EE163FB"/>
    <w:multiLevelType w:val="hybridMultilevel"/>
    <w:tmpl w:val="DC1839C4"/>
    <w:lvl w:ilvl="0" w:tplc="C8029A4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FE3DF6"/>
    <w:multiLevelType w:val="hybridMultilevel"/>
    <w:tmpl w:val="927E7D98"/>
    <w:lvl w:ilvl="0" w:tplc="C8029A4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134D47"/>
    <w:multiLevelType w:val="hybridMultilevel"/>
    <w:tmpl w:val="C8482EE0"/>
    <w:lvl w:ilvl="0" w:tplc="BAAAA0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8029A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E0809B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3C893C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2C0B9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BF2C9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9E46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4B610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D64E7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6643636F"/>
    <w:multiLevelType w:val="hybridMultilevel"/>
    <w:tmpl w:val="EE8AB730"/>
    <w:lvl w:ilvl="0" w:tplc="5D6EE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AD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6A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AB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0E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EA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80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41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00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BC63F52"/>
    <w:multiLevelType w:val="hybridMultilevel"/>
    <w:tmpl w:val="D760357C"/>
    <w:lvl w:ilvl="0" w:tplc="C8029A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16"/>
    <w:rsid w:val="000426D5"/>
    <w:rsid w:val="00146271"/>
    <w:rsid w:val="001B5B36"/>
    <w:rsid w:val="001F7516"/>
    <w:rsid w:val="002809D2"/>
    <w:rsid w:val="002942F0"/>
    <w:rsid w:val="00396ECE"/>
    <w:rsid w:val="00445A41"/>
    <w:rsid w:val="004667E9"/>
    <w:rsid w:val="005D0BD6"/>
    <w:rsid w:val="005E706A"/>
    <w:rsid w:val="006A7ECC"/>
    <w:rsid w:val="00911527"/>
    <w:rsid w:val="00A57A66"/>
    <w:rsid w:val="00B26BFA"/>
    <w:rsid w:val="00C37EDF"/>
    <w:rsid w:val="00C54820"/>
    <w:rsid w:val="00F017D0"/>
    <w:rsid w:val="00F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3BDF0-7031-49E9-908A-851564E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548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7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7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1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70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gov.scot/Documents/social-studies-pp.pdf" TargetMode="Externa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https://education.gov.scot/improvement/Pages/Search.aspx?k=social%20studies" TargetMode="Externa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mailto:lrs@falkirk.gov.uk" TargetMode="External"/><Relationship Id="rId11" Type="http://schemas.openxmlformats.org/officeDocument/2006/relationships/hyperlink" Target="https://education.gov.scot/Documents/social-studies-pp.pdf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s://education.gov.scot/improvement/Pages/Search.aspx?k=social%20studies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lrs@falkirk.gov.uk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5AB160-C1AE-4A0F-91CD-0667D1A77A03}" type="doc">
      <dgm:prSet loTypeId="urn:microsoft.com/office/officeart/2005/8/layout/matrix1" loCatId="matrix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A8CDF304-17D9-4FD4-B5A4-E886A3A8C0EC}">
      <dgm:prSet phldrT="[Text]"/>
      <dgm:spPr/>
      <dgm:t>
        <a:bodyPr/>
        <a:lstStyle/>
        <a:p>
          <a:r>
            <a:rPr lang="en-GB"/>
            <a:t>Social Studies</a:t>
          </a:r>
        </a:p>
      </dgm:t>
    </dgm:pt>
    <dgm:pt modelId="{90F68E0A-1138-42D8-92B2-EF7701CEE96D}" type="parTrans" cxnId="{8C5D2257-4E39-4683-97DE-DB4E453D5173}">
      <dgm:prSet/>
      <dgm:spPr/>
      <dgm:t>
        <a:bodyPr/>
        <a:lstStyle/>
        <a:p>
          <a:endParaRPr lang="en-GB"/>
        </a:p>
      </dgm:t>
    </dgm:pt>
    <dgm:pt modelId="{94009F40-220B-47B1-B0A4-EAF26645EF63}" type="sibTrans" cxnId="{8C5D2257-4E39-4683-97DE-DB4E453D5173}">
      <dgm:prSet/>
      <dgm:spPr/>
      <dgm:t>
        <a:bodyPr/>
        <a:lstStyle/>
        <a:p>
          <a:endParaRPr lang="en-GB"/>
        </a:p>
      </dgm:t>
    </dgm:pt>
    <dgm:pt modelId="{A0F7225E-8C77-4C2B-AC9F-7A0A6CFF195D}">
      <dgm:prSet phldrT="[Text]"/>
      <dgm:spPr/>
      <dgm:t>
        <a:bodyPr/>
        <a:lstStyle/>
        <a:p>
          <a:r>
            <a:rPr lang="en-GB"/>
            <a:t>Assessment </a:t>
          </a:r>
        </a:p>
        <a:p>
          <a:endParaRPr lang="en-GB"/>
        </a:p>
        <a:p>
          <a:r>
            <a:rPr lang="en-GB"/>
            <a:t> </a:t>
          </a:r>
        </a:p>
        <a:p>
          <a:endParaRPr lang="en-GB"/>
        </a:p>
        <a:p>
          <a:endParaRPr lang="en-GB"/>
        </a:p>
        <a:p>
          <a:endParaRPr lang="en-GB"/>
        </a:p>
        <a:p>
          <a:r>
            <a:rPr lang="en-GB"/>
            <a:t>            </a:t>
          </a:r>
        </a:p>
        <a:p>
          <a:endParaRPr lang="en-GB"/>
        </a:p>
        <a:p>
          <a:r>
            <a:rPr lang="en-GB"/>
            <a:t> </a:t>
          </a:r>
        </a:p>
      </dgm:t>
    </dgm:pt>
    <dgm:pt modelId="{CD23AE47-90EB-4BE5-9D0C-4AF0A54CCEDC}" type="parTrans" cxnId="{9995A710-EF0A-48CB-93E3-4B5E2897B225}">
      <dgm:prSet/>
      <dgm:spPr/>
      <dgm:t>
        <a:bodyPr/>
        <a:lstStyle/>
        <a:p>
          <a:endParaRPr lang="en-GB"/>
        </a:p>
      </dgm:t>
    </dgm:pt>
    <dgm:pt modelId="{B5459BE8-A324-4DC1-B048-5723EE1E5FED}" type="sibTrans" cxnId="{9995A710-EF0A-48CB-93E3-4B5E2897B225}">
      <dgm:prSet/>
      <dgm:spPr/>
      <dgm:t>
        <a:bodyPr/>
        <a:lstStyle/>
        <a:p>
          <a:endParaRPr lang="en-GB"/>
        </a:p>
      </dgm:t>
    </dgm:pt>
    <dgm:pt modelId="{1EE03AAB-4824-43CD-871F-305B9002EBFE}">
      <dgm:prSet phldrT="[Text]"/>
      <dgm:spPr/>
      <dgm:t>
        <a:bodyPr/>
        <a:lstStyle/>
        <a:p>
          <a:r>
            <a:rPr lang="en-GB"/>
            <a:t>Planning</a:t>
          </a:r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r>
            <a:rPr lang="en-GB"/>
            <a:t> </a:t>
          </a:r>
        </a:p>
      </dgm:t>
    </dgm:pt>
    <dgm:pt modelId="{C544A85F-5F28-46B6-B520-84F2991E27DC}" type="parTrans" cxnId="{38AF75A6-47EA-4297-ACBD-FC52D4744855}">
      <dgm:prSet/>
      <dgm:spPr/>
      <dgm:t>
        <a:bodyPr/>
        <a:lstStyle/>
        <a:p>
          <a:endParaRPr lang="en-GB"/>
        </a:p>
      </dgm:t>
    </dgm:pt>
    <dgm:pt modelId="{12A1DA9B-5A03-4ACD-A034-72A4B9CF0D8B}" type="sibTrans" cxnId="{38AF75A6-47EA-4297-ACBD-FC52D4744855}">
      <dgm:prSet/>
      <dgm:spPr/>
      <dgm:t>
        <a:bodyPr/>
        <a:lstStyle/>
        <a:p>
          <a:endParaRPr lang="en-GB"/>
        </a:p>
      </dgm:t>
    </dgm:pt>
    <dgm:pt modelId="{22B45C43-A5AA-4B97-BA67-AD5FB070E06C}">
      <dgm:prSet phldrT="[Text]"/>
      <dgm:spPr/>
      <dgm:t>
        <a:bodyPr/>
        <a:lstStyle/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r>
            <a:rPr lang="en-GB"/>
            <a:t>Pedagodgy </a:t>
          </a:r>
        </a:p>
      </dgm:t>
    </dgm:pt>
    <dgm:pt modelId="{AAA4F116-32D1-47B4-A51A-EA3EE247DCB4}" type="parTrans" cxnId="{ACF8C739-E7B1-4B60-B984-ACF79A5546E7}">
      <dgm:prSet/>
      <dgm:spPr/>
      <dgm:t>
        <a:bodyPr/>
        <a:lstStyle/>
        <a:p>
          <a:endParaRPr lang="en-GB"/>
        </a:p>
      </dgm:t>
    </dgm:pt>
    <dgm:pt modelId="{C07CF6AF-FCF5-4D28-B5E7-1CE15D220F7E}" type="sibTrans" cxnId="{ACF8C739-E7B1-4B60-B984-ACF79A5546E7}">
      <dgm:prSet/>
      <dgm:spPr/>
      <dgm:t>
        <a:bodyPr/>
        <a:lstStyle/>
        <a:p>
          <a:endParaRPr lang="en-GB"/>
        </a:p>
      </dgm:t>
    </dgm:pt>
    <dgm:pt modelId="{D9E3E0D8-1AAA-44C1-9054-14FEDE9C2A45}">
      <dgm:prSet/>
      <dgm:spPr/>
      <dgm:t>
        <a:bodyPr/>
        <a:lstStyle/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r>
            <a:rPr lang="en-GB"/>
            <a:t>Resources</a:t>
          </a:r>
        </a:p>
      </dgm:t>
    </dgm:pt>
    <dgm:pt modelId="{944BA39B-1A3A-4EAC-9793-FD5000FCF6DA}" type="parTrans" cxnId="{FA83ACBF-04DC-4C2F-A893-C7FE41594CF3}">
      <dgm:prSet/>
      <dgm:spPr/>
      <dgm:t>
        <a:bodyPr/>
        <a:lstStyle/>
        <a:p>
          <a:endParaRPr lang="en-GB"/>
        </a:p>
      </dgm:t>
    </dgm:pt>
    <dgm:pt modelId="{575938DD-25E4-4A4C-A21A-53088FDADE8B}" type="sibTrans" cxnId="{FA83ACBF-04DC-4C2F-A893-C7FE41594CF3}">
      <dgm:prSet/>
      <dgm:spPr/>
      <dgm:t>
        <a:bodyPr/>
        <a:lstStyle/>
        <a:p>
          <a:endParaRPr lang="en-GB"/>
        </a:p>
      </dgm:t>
    </dgm:pt>
    <dgm:pt modelId="{D68508BE-C469-44B3-839E-FC72BABA7377}" type="pres">
      <dgm:prSet presAssocID="{C95AB160-C1AE-4A0F-91CD-0667D1A77A03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769BCA2-5DBB-40C8-BF8B-830CCD56A796}" type="pres">
      <dgm:prSet presAssocID="{C95AB160-C1AE-4A0F-91CD-0667D1A77A03}" presName="matrix" presStyleCnt="0"/>
      <dgm:spPr/>
    </dgm:pt>
    <dgm:pt modelId="{BBD15C02-B03B-4B02-B2F9-C9D092A8B4B0}" type="pres">
      <dgm:prSet presAssocID="{C95AB160-C1AE-4A0F-91CD-0667D1A77A03}" presName="tile1" presStyleLbl="node1" presStyleIdx="0" presStyleCnt="4" custScaleX="105505" custScaleY="115238" custLinFactNeighborY="1937"/>
      <dgm:spPr/>
      <dgm:t>
        <a:bodyPr/>
        <a:lstStyle/>
        <a:p>
          <a:endParaRPr lang="en-GB"/>
        </a:p>
      </dgm:t>
    </dgm:pt>
    <dgm:pt modelId="{98F5DA26-6748-488B-B787-634A6459C17C}" type="pres">
      <dgm:prSet presAssocID="{C95AB160-C1AE-4A0F-91CD-0667D1A77A03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398B8C8-1F9C-4470-80A5-856E27700F1C}" type="pres">
      <dgm:prSet presAssocID="{C95AB160-C1AE-4A0F-91CD-0667D1A77A03}" presName="tile2" presStyleLbl="node1" presStyleIdx="1" presStyleCnt="4" custScaleY="112875" custLinFactNeighborX="-4721" custLinFactNeighborY="808"/>
      <dgm:spPr/>
      <dgm:t>
        <a:bodyPr/>
        <a:lstStyle/>
        <a:p>
          <a:endParaRPr lang="en-GB"/>
        </a:p>
      </dgm:t>
    </dgm:pt>
    <dgm:pt modelId="{C90DC0AC-AD7D-4583-BB18-DDA904192975}" type="pres">
      <dgm:prSet presAssocID="{C95AB160-C1AE-4A0F-91CD-0667D1A77A03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5AB117B-77D8-4F9C-894A-2C4F55BD3AA6}" type="pres">
      <dgm:prSet presAssocID="{C95AB160-C1AE-4A0F-91CD-0667D1A77A03}" presName="tile3" presStyleLbl="node1" presStyleIdx="2" presStyleCnt="4" custScaleX="107486" custScaleY="85811" custLinFactNeighborX="886" custLinFactNeighborY="-25827"/>
      <dgm:spPr/>
      <dgm:t>
        <a:bodyPr/>
        <a:lstStyle/>
        <a:p>
          <a:endParaRPr lang="en-GB"/>
        </a:p>
      </dgm:t>
    </dgm:pt>
    <dgm:pt modelId="{CBC4C588-2774-4456-9DA0-A6C52CCB7A1B}" type="pres">
      <dgm:prSet presAssocID="{C95AB160-C1AE-4A0F-91CD-0667D1A77A03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41532BC-C566-4BF4-A5D2-CBDE84A89C82}" type="pres">
      <dgm:prSet presAssocID="{C95AB160-C1AE-4A0F-91CD-0667D1A77A03}" presName="tile4" presStyleLbl="node1" presStyleIdx="3" presStyleCnt="4" custScaleX="91873" custScaleY="86502" custLinFactNeighborX="-3965" custLinFactNeighborY="-26330"/>
      <dgm:spPr/>
      <dgm:t>
        <a:bodyPr/>
        <a:lstStyle/>
        <a:p>
          <a:endParaRPr lang="en-GB"/>
        </a:p>
      </dgm:t>
    </dgm:pt>
    <dgm:pt modelId="{F74D7FAA-5A31-4D50-A27A-28A2A2156FA7}" type="pres">
      <dgm:prSet presAssocID="{C95AB160-C1AE-4A0F-91CD-0667D1A77A03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67C68D6-9501-4A1B-BA23-5193E5838662}" type="pres">
      <dgm:prSet presAssocID="{C95AB160-C1AE-4A0F-91CD-0667D1A77A03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</dgm:ptLst>
  <dgm:cxnLst>
    <dgm:cxn modelId="{9995A710-EF0A-48CB-93E3-4B5E2897B225}" srcId="{A8CDF304-17D9-4FD4-B5A4-E886A3A8C0EC}" destId="{A0F7225E-8C77-4C2B-AC9F-7A0A6CFF195D}" srcOrd="0" destOrd="0" parTransId="{CD23AE47-90EB-4BE5-9D0C-4AF0A54CCEDC}" sibTransId="{B5459BE8-A324-4DC1-B048-5723EE1E5FED}"/>
    <dgm:cxn modelId="{8C5D2257-4E39-4683-97DE-DB4E453D5173}" srcId="{C95AB160-C1AE-4A0F-91CD-0667D1A77A03}" destId="{A8CDF304-17D9-4FD4-B5A4-E886A3A8C0EC}" srcOrd="0" destOrd="0" parTransId="{90F68E0A-1138-42D8-92B2-EF7701CEE96D}" sibTransId="{94009F40-220B-47B1-B0A4-EAF26645EF63}"/>
    <dgm:cxn modelId="{112B6E91-DC7D-4419-9B6F-80B4D99CF97D}" type="presOf" srcId="{A0F7225E-8C77-4C2B-AC9F-7A0A6CFF195D}" destId="{BBD15C02-B03B-4B02-B2F9-C9D092A8B4B0}" srcOrd="0" destOrd="0" presId="urn:microsoft.com/office/officeart/2005/8/layout/matrix1"/>
    <dgm:cxn modelId="{FA83ACBF-04DC-4C2F-A893-C7FE41594CF3}" srcId="{A8CDF304-17D9-4FD4-B5A4-E886A3A8C0EC}" destId="{D9E3E0D8-1AAA-44C1-9054-14FEDE9C2A45}" srcOrd="3" destOrd="0" parTransId="{944BA39B-1A3A-4EAC-9793-FD5000FCF6DA}" sibTransId="{575938DD-25E4-4A4C-A21A-53088FDADE8B}"/>
    <dgm:cxn modelId="{ACF8C739-E7B1-4B60-B984-ACF79A5546E7}" srcId="{A8CDF304-17D9-4FD4-B5A4-E886A3A8C0EC}" destId="{22B45C43-A5AA-4B97-BA67-AD5FB070E06C}" srcOrd="2" destOrd="0" parTransId="{AAA4F116-32D1-47B4-A51A-EA3EE247DCB4}" sibTransId="{C07CF6AF-FCF5-4D28-B5E7-1CE15D220F7E}"/>
    <dgm:cxn modelId="{1AA71FD4-6443-4249-B855-659920166560}" type="presOf" srcId="{22B45C43-A5AA-4B97-BA67-AD5FB070E06C}" destId="{25AB117B-77D8-4F9C-894A-2C4F55BD3AA6}" srcOrd="0" destOrd="0" presId="urn:microsoft.com/office/officeart/2005/8/layout/matrix1"/>
    <dgm:cxn modelId="{13F1BDDC-EE2E-434E-87CC-EA56EEC196E3}" type="presOf" srcId="{1EE03AAB-4824-43CD-871F-305B9002EBFE}" destId="{C90DC0AC-AD7D-4583-BB18-DDA904192975}" srcOrd="1" destOrd="0" presId="urn:microsoft.com/office/officeart/2005/8/layout/matrix1"/>
    <dgm:cxn modelId="{38AF75A6-47EA-4297-ACBD-FC52D4744855}" srcId="{A8CDF304-17D9-4FD4-B5A4-E886A3A8C0EC}" destId="{1EE03AAB-4824-43CD-871F-305B9002EBFE}" srcOrd="1" destOrd="0" parTransId="{C544A85F-5F28-46B6-B520-84F2991E27DC}" sibTransId="{12A1DA9B-5A03-4ACD-A034-72A4B9CF0D8B}"/>
    <dgm:cxn modelId="{EA78B834-9933-40EC-98B5-D07BDBD01558}" type="presOf" srcId="{22B45C43-A5AA-4B97-BA67-AD5FB070E06C}" destId="{CBC4C588-2774-4456-9DA0-A6C52CCB7A1B}" srcOrd="1" destOrd="0" presId="urn:microsoft.com/office/officeart/2005/8/layout/matrix1"/>
    <dgm:cxn modelId="{0D3D0F4D-27A6-4197-BD88-162001A26B17}" type="presOf" srcId="{D9E3E0D8-1AAA-44C1-9054-14FEDE9C2A45}" destId="{A41532BC-C566-4BF4-A5D2-CBDE84A89C82}" srcOrd="0" destOrd="0" presId="urn:microsoft.com/office/officeart/2005/8/layout/matrix1"/>
    <dgm:cxn modelId="{2F4D94A5-C36E-4E67-8DAC-AA109DA2CBE4}" type="presOf" srcId="{A0F7225E-8C77-4C2B-AC9F-7A0A6CFF195D}" destId="{98F5DA26-6748-488B-B787-634A6459C17C}" srcOrd="1" destOrd="0" presId="urn:microsoft.com/office/officeart/2005/8/layout/matrix1"/>
    <dgm:cxn modelId="{550C62A5-255F-4122-A7A6-007E7301C416}" type="presOf" srcId="{D9E3E0D8-1AAA-44C1-9054-14FEDE9C2A45}" destId="{F74D7FAA-5A31-4D50-A27A-28A2A2156FA7}" srcOrd="1" destOrd="0" presId="urn:microsoft.com/office/officeart/2005/8/layout/matrix1"/>
    <dgm:cxn modelId="{05EB3257-F299-4CBE-B535-6F507969F062}" type="presOf" srcId="{C95AB160-C1AE-4A0F-91CD-0667D1A77A03}" destId="{D68508BE-C469-44B3-839E-FC72BABA7377}" srcOrd="0" destOrd="0" presId="urn:microsoft.com/office/officeart/2005/8/layout/matrix1"/>
    <dgm:cxn modelId="{F0B64E83-4C89-4B44-9EF3-31CB989EEE3B}" type="presOf" srcId="{1EE03AAB-4824-43CD-871F-305B9002EBFE}" destId="{8398B8C8-1F9C-4470-80A5-856E27700F1C}" srcOrd="0" destOrd="0" presId="urn:microsoft.com/office/officeart/2005/8/layout/matrix1"/>
    <dgm:cxn modelId="{DD9CB47D-F2BE-4AF6-98FD-5A0178292B0F}" type="presOf" srcId="{A8CDF304-17D9-4FD4-B5A4-E886A3A8C0EC}" destId="{967C68D6-9501-4A1B-BA23-5193E5838662}" srcOrd="0" destOrd="0" presId="urn:microsoft.com/office/officeart/2005/8/layout/matrix1"/>
    <dgm:cxn modelId="{81683547-D033-4F87-96D8-07D0B346298D}" type="presParOf" srcId="{D68508BE-C469-44B3-839E-FC72BABA7377}" destId="{2769BCA2-5DBB-40C8-BF8B-830CCD56A796}" srcOrd="0" destOrd="0" presId="urn:microsoft.com/office/officeart/2005/8/layout/matrix1"/>
    <dgm:cxn modelId="{E517CB50-C12E-4594-A4D2-CAC3DCC8DE93}" type="presParOf" srcId="{2769BCA2-5DBB-40C8-BF8B-830CCD56A796}" destId="{BBD15C02-B03B-4B02-B2F9-C9D092A8B4B0}" srcOrd="0" destOrd="0" presId="urn:microsoft.com/office/officeart/2005/8/layout/matrix1"/>
    <dgm:cxn modelId="{D0F06800-CF3A-4B1C-9D60-BBE319711CEE}" type="presParOf" srcId="{2769BCA2-5DBB-40C8-BF8B-830CCD56A796}" destId="{98F5DA26-6748-488B-B787-634A6459C17C}" srcOrd="1" destOrd="0" presId="urn:microsoft.com/office/officeart/2005/8/layout/matrix1"/>
    <dgm:cxn modelId="{E603A1D3-D1D4-4D08-94D9-8E210B8B1475}" type="presParOf" srcId="{2769BCA2-5DBB-40C8-BF8B-830CCD56A796}" destId="{8398B8C8-1F9C-4470-80A5-856E27700F1C}" srcOrd="2" destOrd="0" presId="urn:microsoft.com/office/officeart/2005/8/layout/matrix1"/>
    <dgm:cxn modelId="{737B5E3F-142A-46F2-933B-42B3C6171133}" type="presParOf" srcId="{2769BCA2-5DBB-40C8-BF8B-830CCD56A796}" destId="{C90DC0AC-AD7D-4583-BB18-DDA904192975}" srcOrd="3" destOrd="0" presId="urn:microsoft.com/office/officeart/2005/8/layout/matrix1"/>
    <dgm:cxn modelId="{91C0781D-23C5-46D9-BB2B-B1780CE9A83D}" type="presParOf" srcId="{2769BCA2-5DBB-40C8-BF8B-830CCD56A796}" destId="{25AB117B-77D8-4F9C-894A-2C4F55BD3AA6}" srcOrd="4" destOrd="0" presId="urn:microsoft.com/office/officeart/2005/8/layout/matrix1"/>
    <dgm:cxn modelId="{8198DFA5-19CC-4996-9B36-35EF8827820D}" type="presParOf" srcId="{2769BCA2-5DBB-40C8-BF8B-830CCD56A796}" destId="{CBC4C588-2774-4456-9DA0-A6C52CCB7A1B}" srcOrd="5" destOrd="0" presId="urn:microsoft.com/office/officeart/2005/8/layout/matrix1"/>
    <dgm:cxn modelId="{42190D3D-B015-4BD4-9919-640359FC3A34}" type="presParOf" srcId="{2769BCA2-5DBB-40C8-BF8B-830CCD56A796}" destId="{A41532BC-C566-4BF4-A5D2-CBDE84A89C82}" srcOrd="6" destOrd="0" presId="urn:microsoft.com/office/officeart/2005/8/layout/matrix1"/>
    <dgm:cxn modelId="{745C392C-190A-4429-84F6-C8D5315970A5}" type="presParOf" srcId="{2769BCA2-5DBB-40C8-BF8B-830CCD56A796}" destId="{F74D7FAA-5A31-4D50-A27A-28A2A2156FA7}" srcOrd="7" destOrd="0" presId="urn:microsoft.com/office/officeart/2005/8/layout/matrix1"/>
    <dgm:cxn modelId="{7C0C1381-9CB3-478A-97F7-85D95BF97060}" type="presParOf" srcId="{D68508BE-C469-44B3-839E-FC72BABA7377}" destId="{967C68D6-9501-4A1B-BA23-5193E583866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D15C02-B03B-4B02-B2F9-C9D092A8B4B0}">
      <dsp:nvSpPr>
        <dsp:cNvPr id="0" name=""/>
        <dsp:cNvSpPr/>
      </dsp:nvSpPr>
      <dsp:spPr>
        <a:xfrm rot="16200000">
          <a:off x="-1118968" y="1166247"/>
          <a:ext cx="6225459" cy="4055248"/>
        </a:xfrm>
        <a:prstGeom prst="round1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Assessment 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 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            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 </a:t>
          </a:r>
        </a:p>
      </dsp:txBody>
      <dsp:txXfrm rot="5400000">
        <a:off x="-33862" y="81142"/>
        <a:ext cx="4055248" cy="4669094"/>
      </dsp:txXfrm>
    </dsp:sp>
    <dsp:sp modelId="{8398B8C8-1F9C-4470-80A5-856E27700F1C}">
      <dsp:nvSpPr>
        <dsp:cNvPr id="0" name=""/>
        <dsp:cNvSpPr/>
      </dsp:nvSpPr>
      <dsp:spPr>
        <a:xfrm>
          <a:off x="3734130" y="83978"/>
          <a:ext cx="3843655" cy="6097803"/>
        </a:xfrm>
        <a:prstGeom prst="round1Rect">
          <a:avLst/>
        </a:prstGeom>
        <a:gradFill rotWithShape="0">
          <a:gsLst>
            <a:gs pos="0">
              <a:schemeClr val="accent4">
                <a:hueOff val="3465231"/>
                <a:satOff val="-15989"/>
                <a:lumOff val="58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3465231"/>
                <a:satOff val="-15989"/>
                <a:lumOff val="58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3465231"/>
                <a:satOff val="-15989"/>
                <a:lumOff val="58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Planning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 </a:t>
          </a:r>
        </a:p>
      </dsp:txBody>
      <dsp:txXfrm>
        <a:off x="3734130" y="83978"/>
        <a:ext cx="3843655" cy="4573352"/>
      </dsp:txXfrm>
    </dsp:sp>
    <dsp:sp modelId="{25AB117B-77D8-4F9C-894A-2C4F55BD3AA6}">
      <dsp:nvSpPr>
        <dsp:cNvPr id="0" name=""/>
        <dsp:cNvSpPr/>
      </dsp:nvSpPr>
      <dsp:spPr>
        <a:xfrm rot="10800000">
          <a:off x="-37879" y="4778382"/>
          <a:ext cx="4131391" cy="4635735"/>
        </a:xfrm>
        <a:prstGeom prst="round1Rect">
          <a:avLst/>
        </a:prstGeom>
        <a:gradFill rotWithShape="0">
          <a:gsLst>
            <a:gs pos="0">
              <a:schemeClr val="accent4">
                <a:hueOff val="6930461"/>
                <a:satOff val="-31979"/>
                <a:lumOff val="117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6930461"/>
                <a:satOff val="-31979"/>
                <a:lumOff val="117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6930461"/>
                <a:satOff val="-31979"/>
                <a:lumOff val="117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Pedagodgy </a:t>
          </a:r>
        </a:p>
      </dsp:txBody>
      <dsp:txXfrm rot="10800000">
        <a:off x="-37879" y="5937316"/>
        <a:ext cx="4131391" cy="3476801"/>
      </dsp:txXfrm>
    </dsp:sp>
    <dsp:sp modelId="{A41532BC-C566-4BF4-A5D2-CBDE84A89C82}">
      <dsp:nvSpPr>
        <dsp:cNvPr id="0" name=""/>
        <dsp:cNvSpPr/>
      </dsp:nvSpPr>
      <dsp:spPr>
        <a:xfrm rot="5400000">
          <a:off x="3348483" y="5303435"/>
          <a:ext cx="4673065" cy="3531281"/>
        </a:xfrm>
        <a:prstGeom prst="round1Rec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Resources</a:t>
          </a:r>
        </a:p>
      </dsp:txBody>
      <dsp:txXfrm rot="-5400000">
        <a:off x="3919375" y="5900810"/>
        <a:ext cx="3531281" cy="3504798"/>
      </dsp:txXfrm>
    </dsp:sp>
    <dsp:sp modelId="{967C68D6-9501-4A1B-BA23-5193E5838662}">
      <dsp:nvSpPr>
        <dsp:cNvPr id="0" name=""/>
        <dsp:cNvSpPr/>
      </dsp:nvSpPr>
      <dsp:spPr>
        <a:xfrm>
          <a:off x="2690558" y="4051696"/>
          <a:ext cx="2306193" cy="2701131"/>
        </a:xfrm>
        <a:prstGeom prst="roundRect">
          <a:avLst/>
        </a:prstGeom>
        <a:gradFill rotWithShape="0">
          <a:gsLst>
            <a:gs pos="0">
              <a:schemeClr val="accent4">
                <a:tint val="4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tint val="4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tint val="4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Social Studies</a:t>
          </a:r>
        </a:p>
      </dsp:txBody>
      <dsp:txXfrm>
        <a:off x="2803137" y="4164275"/>
        <a:ext cx="2081035" cy="2475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931E8661F5B4BB60971DBA5F4E284" ma:contentTypeVersion="18" ma:contentTypeDescription="Create a new document." ma:contentTypeScope="" ma:versionID="4ae9d3b5f2f3d9a1b1c0b8e5ea33cd63">
  <xsd:schema xmlns:xsd="http://www.w3.org/2001/XMLSchema" xmlns:xs="http://www.w3.org/2001/XMLSchema" xmlns:p="http://schemas.microsoft.com/office/2006/metadata/properties" xmlns:ns2="15b4a86a-df4e-42c4-9fb9-a16438e501c0" xmlns:ns3="82749ade-fd9e-449c-928a-3324f31820c5" targetNamespace="http://schemas.microsoft.com/office/2006/metadata/properties" ma:root="true" ma:fieldsID="309d3daddbe5a4ea1a63923ce26b8b68" ns2:_="" ns3:_="">
    <xsd:import namespace="15b4a86a-df4e-42c4-9fb9-a16438e501c0"/>
    <xsd:import namespace="82749ade-fd9e-449c-928a-3324f318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86a-df4e-42c4-9fb9-a16438e5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9ade-fd9e-449c-928a-3324f318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712e1-2b3d-4883-8dbe-af8101b0cf53}" ma:internalName="TaxCatchAll" ma:showField="CatchAllData" ma:web="82749ade-fd9e-449c-928a-3324f318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49ade-fd9e-449c-928a-3324f31820c5" xsi:nil="true"/>
    <lcf76f155ced4ddcb4097134ff3c332f xmlns="15b4a86a-df4e-42c4-9fb9-a16438e50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A7FD65-D500-4620-8AF1-A9B1733140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3D22D7-846B-4BB1-BDFE-859C76E0C41A}"/>
</file>

<file path=customXml/itemProps3.xml><?xml version="1.0" encoding="utf-8"?>
<ds:datastoreItem xmlns:ds="http://schemas.openxmlformats.org/officeDocument/2006/customXml" ds:itemID="{5FF17BF7-53CF-4633-9196-E90ABC330258}"/>
</file>

<file path=customXml/itemProps4.xml><?xml version="1.0" encoding="utf-8"?>
<ds:datastoreItem xmlns:ds="http://schemas.openxmlformats.org/officeDocument/2006/customXml" ds:itemID="{42338B22-81B3-4087-9D62-3DAABAD39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O'Neill</dc:creator>
  <cp:keywords/>
  <dc:description/>
  <cp:lastModifiedBy>Tina O'Neill</cp:lastModifiedBy>
  <cp:revision>5</cp:revision>
  <cp:lastPrinted>2018-10-12T12:40:00Z</cp:lastPrinted>
  <dcterms:created xsi:type="dcterms:W3CDTF">2018-09-11T16:10:00Z</dcterms:created>
  <dcterms:modified xsi:type="dcterms:W3CDTF">2018-10-12T12:40:00Z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0x0101003BC931E8661F5B4BB60971DBA5F4E284</vt:lpwstr>
  </property>
</Properties>
</file>