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14" w:rsidRPr="003E52BD" w:rsidRDefault="00202114">
      <w:pPr>
        <w:rPr>
          <w:rFonts w:ascii="Arial" w:hAnsi="Arial" w:cs="Arial"/>
          <w:sz w:val="20"/>
          <w:szCs w:val="20"/>
        </w:rPr>
      </w:pPr>
      <w:r w:rsidRPr="003E52BD">
        <w:rPr>
          <w:rFonts w:ascii="Arial" w:hAnsi="Arial" w:cs="Arial"/>
          <w:sz w:val="20"/>
          <w:szCs w:val="20"/>
        </w:rPr>
        <w:t>IDL Network meeting</w:t>
      </w:r>
      <w:r w:rsidR="003E52BD">
        <w:rPr>
          <w:rFonts w:ascii="Arial" w:hAnsi="Arial" w:cs="Arial"/>
          <w:sz w:val="20"/>
          <w:szCs w:val="20"/>
        </w:rPr>
        <w:t xml:space="preserve"> – HGIOS Key Statements linked to IDL &amp; Cross-cutting themes</w:t>
      </w: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6374"/>
        <w:gridCol w:w="8364"/>
      </w:tblGrid>
      <w:tr w:rsidR="00202114" w:rsidRPr="003E52BD" w:rsidTr="003E52BD">
        <w:trPr>
          <w:trHeight w:val="301"/>
        </w:trPr>
        <w:tc>
          <w:tcPr>
            <w:tcW w:w="6374" w:type="dxa"/>
          </w:tcPr>
          <w:p w:rsidR="00202114" w:rsidRPr="003E52BD" w:rsidRDefault="00202114" w:rsidP="003E52BD">
            <w:pPr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3E52BD">
              <w:rPr>
                <w:rFonts w:ascii="Arial" w:hAnsi="Arial" w:cs="Arial"/>
                <w:sz w:val="20"/>
                <w:szCs w:val="20"/>
              </w:rPr>
              <w:t xml:space="preserve">Leadership of Learning </w:t>
            </w:r>
            <w:r w:rsidRPr="003E5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</w:tcPr>
          <w:p w:rsidR="00202114" w:rsidRPr="003E52BD" w:rsidRDefault="0020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14" w:rsidRPr="003E52BD" w:rsidTr="003E52BD">
        <w:trPr>
          <w:trHeight w:val="1538"/>
        </w:trPr>
        <w:tc>
          <w:tcPr>
            <w:tcW w:w="6374" w:type="dxa"/>
          </w:tcPr>
          <w:p w:rsidR="00202114" w:rsidRPr="003E52BD" w:rsidRDefault="00202114" w:rsidP="0020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Staff work collaboratively to strengthen their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understanding and implementation of key national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policies including the </w:t>
            </w:r>
            <w:r w:rsidRPr="003E52BD">
              <w:rPr>
                <w:rFonts w:ascii="Arial" w:hAnsi="Arial" w:cs="Arial"/>
                <w:i/>
                <w:iCs/>
                <w:color w:val="585757"/>
                <w:sz w:val="20"/>
                <w:szCs w:val="20"/>
              </w:rPr>
              <w:t>Scottish Attainment Challenge,</w:t>
            </w:r>
            <w:r w:rsidR="001A71BC" w:rsidRPr="003E52BD">
              <w:rPr>
                <w:rFonts w:ascii="Arial" w:hAnsi="Arial" w:cs="Arial"/>
                <w:i/>
                <w:iCs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i/>
                <w:iCs/>
                <w:color w:val="585757"/>
                <w:sz w:val="20"/>
                <w:szCs w:val="20"/>
              </w:rPr>
              <w:t xml:space="preserve">Developing Scotland’s Young Workforce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and</w:t>
            </w:r>
          </w:p>
          <w:p w:rsidR="00202114" w:rsidRPr="003E52BD" w:rsidRDefault="00202114" w:rsidP="00202114">
            <w:pPr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i/>
                <w:iCs/>
                <w:color w:val="585757"/>
                <w:sz w:val="20"/>
                <w:szCs w:val="20"/>
              </w:rPr>
              <w:t>Learning for Sustainability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.</w:t>
            </w:r>
          </w:p>
          <w:p w:rsidR="00202114" w:rsidRPr="003E52BD" w:rsidRDefault="0020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202114" w:rsidRPr="003E52BD" w:rsidRDefault="00202114" w:rsidP="0020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To what extent do we critically engage with research,</w:t>
            </w:r>
            <w:r w:rsidR="001A71BC"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policy sources and developments in learning and</w:t>
            </w:r>
            <w:r w:rsidR="001A71BC"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teaching?</w:t>
            </w:r>
          </w:p>
          <w:p w:rsidR="00202114" w:rsidRPr="003E52BD" w:rsidRDefault="00202114" w:rsidP="0020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do we know that our professional learning is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improving outcomes for learners?</w:t>
            </w:r>
          </w:p>
          <w:p w:rsidR="00202114" w:rsidRPr="003E52BD" w:rsidRDefault="00202114" w:rsidP="0020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reliable is our evidence of impact on pupil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learning?</w:t>
            </w:r>
          </w:p>
          <w:p w:rsidR="00202114" w:rsidRPr="003E52BD" w:rsidRDefault="00202114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To what extent do we support children and young</w:t>
            </w:r>
            <w:r w:rsidR="001A71BC"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people to take responsibility for their own learning</w:t>
            </w:r>
            <w:r w:rsidR="001A71BC"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and progress?</w:t>
            </w:r>
          </w:p>
        </w:tc>
      </w:tr>
      <w:tr w:rsidR="001A71BC" w:rsidRPr="003E52BD" w:rsidTr="003E52BD">
        <w:trPr>
          <w:trHeight w:val="254"/>
        </w:trPr>
        <w:tc>
          <w:tcPr>
            <w:tcW w:w="6374" w:type="dxa"/>
          </w:tcPr>
          <w:p w:rsidR="001A71BC" w:rsidRPr="00E13CFF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b/>
                <w:color w:val="585757"/>
                <w:sz w:val="20"/>
                <w:szCs w:val="20"/>
              </w:rPr>
              <w:t>1.3 Leadership of Change</w:t>
            </w:r>
          </w:p>
        </w:tc>
        <w:tc>
          <w:tcPr>
            <w:tcW w:w="8364" w:type="dxa"/>
          </w:tcPr>
          <w:p w:rsidR="001A71BC" w:rsidRPr="003E52BD" w:rsidRDefault="001A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14" w:rsidRPr="003E52BD" w:rsidTr="00E13CFF">
        <w:trPr>
          <w:trHeight w:val="1848"/>
        </w:trPr>
        <w:tc>
          <w:tcPr>
            <w:tcW w:w="637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All staff have a very clear understanding of the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social, economic and cultural context of the local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community of current educational policy. They use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this knowledge well to shape the vision for the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school.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vision of the school is ambitious and focuses on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improvements in outcomes for all.</w:t>
            </w:r>
          </w:p>
          <w:p w:rsidR="00202114" w:rsidRPr="003E52BD" w:rsidRDefault="001A71BC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Learners are supported to understand the vision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aims and values through the four contexts for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learning.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effective are our processes for involving the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whole school community in the ongoing review of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our vision, aims and values?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What strategies do we employ to translate our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vision, values and aims into daily practice within our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school? How effective are these?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use our vision, aims and values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when making decisions about future improvement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priorities?</w:t>
            </w:r>
          </w:p>
          <w:p w:rsidR="00202114" w:rsidRPr="003E52BD" w:rsidRDefault="001A71BC" w:rsidP="003E52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80B6E1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effective are we at nurturing creativity and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innovation?</w:t>
            </w:r>
          </w:p>
        </w:tc>
      </w:tr>
      <w:tr w:rsidR="00202114" w:rsidRPr="003E52BD" w:rsidTr="003E52BD">
        <w:trPr>
          <w:trHeight w:val="236"/>
        </w:trPr>
        <w:tc>
          <w:tcPr>
            <w:tcW w:w="6374" w:type="dxa"/>
          </w:tcPr>
          <w:p w:rsidR="00202114" w:rsidRPr="003E52BD" w:rsidRDefault="001A71BC">
            <w:pPr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sz w:val="20"/>
                <w:szCs w:val="20"/>
              </w:rPr>
              <w:t>2.2 Curriculum</w:t>
            </w:r>
          </w:p>
        </w:tc>
        <w:tc>
          <w:tcPr>
            <w:tcW w:w="8364" w:type="dxa"/>
          </w:tcPr>
          <w:p w:rsidR="00202114" w:rsidRPr="003E52BD" w:rsidRDefault="0020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14" w:rsidRPr="003E52BD" w:rsidTr="003E52BD">
        <w:trPr>
          <w:trHeight w:val="2765"/>
        </w:trPr>
        <w:tc>
          <w:tcPr>
            <w:tcW w:w="637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Planning for progression in children and young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people’s learning is in place for the four contexts and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shows how knowledge, understanding and skills are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built over time.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Outdoor learning is a regular, progressive </w:t>
            </w:r>
            <w:proofErr w:type="spellStart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curriculumled</w:t>
            </w:r>
            <w:proofErr w:type="spellEnd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experience for all learners.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There is a clear focus on developing skills of literacy,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numeracy, health and wellbeing, creativity, digital and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employability skills in a progressive way across the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curriculum.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 for sustainability is embedded across our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curriculum.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Our curriculum has a strong focus on developing the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skills our young people need in the world of work.</w:t>
            </w:r>
          </w:p>
          <w:p w:rsidR="00202114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We make our children and young people aware of a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range of careers and the skills required for them. We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challenge gender stereotypes within careers.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Do we have a shared understanding of what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progression looks like?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To what extent does our school team have a shared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understanding of interdisciplinary learning and how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to develop it as an important context for learning?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effective is our whole school overview in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ensuring children’s knowledge and skills are built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appropriately over time?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our approaches to profiling develop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children’s and young people’s awareness of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themselves as learners and support them to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recognise the skills for learning, life and work they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are developing to inform the planning of future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Do we make best use of our partners, including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international partners, to provide opportunities for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young people to develop skills and achieve?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knowledgeable and up-to-date is our school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team about career and employability prospects?</w:t>
            </w:r>
          </w:p>
          <w:p w:rsidR="00202114" w:rsidRPr="003E52BD" w:rsidRDefault="001A71BC" w:rsidP="003E52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Is the entitlement of learners to Learning for</w:t>
            </w:r>
            <w:r w:rsid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Sustainability being met?</w:t>
            </w:r>
          </w:p>
        </w:tc>
      </w:tr>
      <w:tr w:rsidR="00202114" w:rsidRPr="003E52BD" w:rsidTr="003E52BD">
        <w:trPr>
          <w:trHeight w:val="254"/>
        </w:trPr>
        <w:tc>
          <w:tcPr>
            <w:tcW w:w="6374" w:type="dxa"/>
          </w:tcPr>
          <w:p w:rsidR="00202114" w:rsidRPr="003E52BD" w:rsidRDefault="001A71BC" w:rsidP="00F83A52">
            <w:pPr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sz w:val="20"/>
                <w:szCs w:val="20"/>
              </w:rPr>
              <w:t>2.3 Learning</w:t>
            </w:r>
            <w:r w:rsidR="00F83A52" w:rsidRPr="003E52BD">
              <w:rPr>
                <w:rFonts w:ascii="Arial" w:hAnsi="Arial" w:cs="Arial"/>
                <w:sz w:val="20"/>
                <w:szCs w:val="20"/>
              </w:rPr>
              <w:t>,</w:t>
            </w:r>
            <w:r w:rsidRPr="003E52BD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 w:rsidR="00F83A52" w:rsidRPr="003E52BD">
              <w:rPr>
                <w:rFonts w:ascii="Arial" w:hAnsi="Arial" w:cs="Arial"/>
                <w:sz w:val="20"/>
                <w:szCs w:val="20"/>
              </w:rPr>
              <w:t xml:space="preserve"> &amp; Assessment</w:t>
            </w:r>
          </w:p>
        </w:tc>
        <w:tc>
          <w:tcPr>
            <w:tcW w:w="8364" w:type="dxa"/>
          </w:tcPr>
          <w:p w:rsidR="00202114" w:rsidRPr="003E52BD" w:rsidRDefault="0020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14" w:rsidRPr="003E52BD" w:rsidTr="003E52BD">
        <w:trPr>
          <w:trHeight w:val="1473"/>
        </w:trPr>
        <w:tc>
          <w:tcPr>
            <w:tcW w:w="637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Learners’ achievements in and out of school are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recorded and recognised. They understand how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these achievements help them develop knowledge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and skills for life, learning and work.</w:t>
            </w:r>
          </w:p>
          <w:p w:rsidR="00202114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Learners play an active role in the school and wider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community and regularly take on leadership roles,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including leading learning.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use our community and spaces to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deliver high-quality outdoor learning?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motivate and engage all learners in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all aspects of school life?</w:t>
            </w:r>
          </w:p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are we enabling learners to become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independent learners and develop the four</w:t>
            </w:r>
          </w:p>
          <w:p w:rsidR="00202114" w:rsidRPr="003E52BD" w:rsidRDefault="001A71BC" w:rsidP="001A71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capacities</w:t>
            </w:r>
            <w:proofErr w:type="gramEnd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?</w:t>
            </w:r>
          </w:p>
        </w:tc>
      </w:tr>
    </w:tbl>
    <w:p w:rsidR="00E13CFF" w:rsidRDefault="00E13CFF">
      <w:r>
        <w:br w:type="page"/>
      </w: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6374"/>
        <w:gridCol w:w="8364"/>
      </w:tblGrid>
      <w:tr w:rsidR="001A71BC" w:rsidRPr="003E52BD" w:rsidTr="003E52BD">
        <w:trPr>
          <w:trHeight w:val="200"/>
        </w:trPr>
        <w:tc>
          <w:tcPr>
            <w:tcW w:w="6374" w:type="dxa"/>
          </w:tcPr>
          <w:p w:rsidR="001A71BC" w:rsidRPr="00E13CFF" w:rsidRDefault="00F83A52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b/>
                <w:color w:val="585757"/>
                <w:sz w:val="20"/>
                <w:szCs w:val="20"/>
              </w:rPr>
              <w:lastRenderedPageBreak/>
              <w:t>2.7 Partnerships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</w:tr>
      <w:tr w:rsidR="001A71BC" w:rsidRPr="003E52BD" w:rsidTr="00E13CFF">
        <w:trPr>
          <w:trHeight w:val="1401"/>
        </w:trPr>
        <w:tc>
          <w:tcPr>
            <w:tcW w:w="6374" w:type="dxa"/>
          </w:tcPr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school’s learning pathways take account of key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features of the local community.</w:t>
            </w:r>
          </w:p>
          <w:p w:rsidR="001A71BC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school understands and plays a significant role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 the life of the local community.</w:t>
            </w:r>
          </w:p>
          <w:p w:rsidR="00F83A52" w:rsidRPr="003E52BD" w:rsidRDefault="00F83A52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school engages effectively with partners to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promote a coherent whole school approach to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 for sustainability.</w:t>
            </w:r>
          </w:p>
        </w:tc>
        <w:tc>
          <w:tcPr>
            <w:tcW w:w="8364" w:type="dxa"/>
          </w:tcPr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understand our local community?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Are the key features of the local community reflected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 our learning pathways?</w:t>
            </w:r>
          </w:p>
          <w:p w:rsidR="001A71BC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F4923F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seek out and respond positively to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potential partnerships which will lead to better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outcomes for the children and young people we work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with?</w:t>
            </w:r>
          </w:p>
          <w:p w:rsidR="00F83A52" w:rsidRDefault="00F83A52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What opportunities do our learners and staff have to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work with others to contribute effectively to their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communities as active citizens?</w:t>
            </w:r>
          </w:p>
          <w:p w:rsidR="00E13CFF" w:rsidRPr="003E52BD" w:rsidRDefault="00E13CFF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</w:tr>
      <w:tr w:rsidR="001A71BC" w:rsidRPr="003E52BD" w:rsidTr="003E52BD">
        <w:trPr>
          <w:trHeight w:val="217"/>
        </w:trPr>
        <w:tc>
          <w:tcPr>
            <w:tcW w:w="6374" w:type="dxa"/>
          </w:tcPr>
          <w:p w:rsidR="001A71BC" w:rsidRPr="00E13CFF" w:rsidRDefault="00F83A52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b/>
                <w:color w:val="585757"/>
                <w:sz w:val="20"/>
                <w:szCs w:val="20"/>
              </w:rPr>
              <w:t xml:space="preserve">3.1 Ensuring wellbeing, equality &amp; inclusion, 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</w:tr>
      <w:tr w:rsidR="001A71BC" w:rsidRPr="003E52BD" w:rsidTr="003E52BD">
        <w:trPr>
          <w:trHeight w:val="2128"/>
        </w:trPr>
        <w:tc>
          <w:tcPr>
            <w:tcW w:w="6374" w:type="dxa"/>
          </w:tcPr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whole learning community has a shared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understanding of wellbeing and the children’s rights.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curriculum provides children and young people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with well-planned and progressive opportunities to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explore diversity and multi-faith issues, and to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challenge racism and religious intolerance.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Children and young people are knowledgeable about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equalities and inclusion. They feel able to challenge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discrimination, xenophobia and intolerance when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they come across it.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Outdoor spaces are used effectively to promote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positive 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>r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elationships and wellbeing. Staff take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account of research linking benefits of outdoor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 and green space with wellbeing.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  <w:tc>
          <w:tcPr>
            <w:tcW w:w="8364" w:type="dxa"/>
          </w:tcPr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all staff know and understand GIRFEC,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 wellbeing indicators, and the United Nations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Convention on the Rights of the Child?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Have we successfully established an inclusive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learning environment? How do we know?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To what extent does our school celebrate diversity?</w:t>
            </w:r>
          </w:p>
          <w:p w:rsidR="00F83A52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does our school ensure that the curriculum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is designed to develop and promote equality and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diversity, eliminate discrimination?</w:t>
            </w:r>
          </w:p>
          <w:p w:rsidR="001A71BC" w:rsidRPr="003E52BD" w:rsidRDefault="00F83A52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do we ensure there is an ethos and culture of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inclusion, participation and positive relationships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across the whole learning community?</w:t>
            </w:r>
          </w:p>
        </w:tc>
      </w:tr>
      <w:tr w:rsidR="001A71BC" w:rsidRPr="003E52BD" w:rsidTr="003E52BD">
        <w:trPr>
          <w:trHeight w:val="217"/>
        </w:trPr>
        <w:tc>
          <w:tcPr>
            <w:tcW w:w="6374" w:type="dxa"/>
          </w:tcPr>
          <w:p w:rsidR="001A71BC" w:rsidRPr="00E13CFF" w:rsidRDefault="00F83A52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b/>
                <w:color w:val="585757"/>
                <w:sz w:val="20"/>
                <w:szCs w:val="20"/>
              </w:rPr>
              <w:t>3.2 Raising attainment and achievement</w:t>
            </w:r>
          </w:p>
        </w:tc>
        <w:tc>
          <w:tcPr>
            <w:tcW w:w="8364" w:type="dxa"/>
          </w:tcPr>
          <w:p w:rsidR="001A71BC" w:rsidRPr="003E52BD" w:rsidRDefault="001A71BC" w:rsidP="001A71B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</w:tr>
      <w:tr w:rsidR="001A71BC" w:rsidRPr="003E52BD" w:rsidTr="003E52BD">
        <w:trPr>
          <w:trHeight w:val="836"/>
        </w:trPr>
        <w:tc>
          <w:tcPr>
            <w:tcW w:w="6374" w:type="dxa"/>
          </w:tcPr>
          <w:p w:rsidR="001A71BC" w:rsidRPr="003E52BD" w:rsidRDefault="00F83A52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There is evidence that children and young people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are applying and increasing their achievements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through active participation in their local community</w:t>
            </w:r>
          </w:p>
        </w:tc>
        <w:tc>
          <w:tcPr>
            <w:tcW w:w="8364" w:type="dxa"/>
          </w:tcPr>
          <w:p w:rsidR="001A71BC" w:rsidRPr="003E52BD" w:rsidRDefault="00F83A52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are we capturing the impact of children and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young people’s achievements on our community?</w:t>
            </w:r>
          </w:p>
        </w:tc>
      </w:tr>
      <w:tr w:rsidR="00A95926" w:rsidRPr="003E52BD" w:rsidTr="003E52BD">
        <w:trPr>
          <w:trHeight w:val="200"/>
        </w:trPr>
        <w:tc>
          <w:tcPr>
            <w:tcW w:w="6374" w:type="dxa"/>
          </w:tcPr>
          <w:p w:rsidR="00A95926" w:rsidRPr="00E13CFF" w:rsidRDefault="00A95926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b/>
                <w:color w:val="585757"/>
                <w:sz w:val="20"/>
                <w:szCs w:val="20"/>
              </w:rPr>
              <w:t>3.3 Increasing Creativity &amp; Employability</w:t>
            </w:r>
          </w:p>
        </w:tc>
        <w:tc>
          <w:tcPr>
            <w:tcW w:w="8364" w:type="dxa"/>
          </w:tcPr>
          <w:p w:rsidR="00A95926" w:rsidRPr="003E52BD" w:rsidRDefault="00A95926" w:rsidP="00F83A52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</w:tc>
      </w:tr>
      <w:tr w:rsidR="00A95926" w:rsidRPr="003E52BD" w:rsidTr="003E52BD">
        <w:trPr>
          <w:trHeight w:val="2328"/>
        </w:trPr>
        <w:tc>
          <w:tcPr>
            <w:tcW w:w="6374" w:type="dxa"/>
          </w:tcPr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Creativity skills are recognised, articulated and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valued by practitioners and learners.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Creativity is practically applied as a higher-order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proofErr w:type="gramStart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thinking</w:t>
            </w:r>
            <w:proofErr w:type="gramEnd"/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skill.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Partnerships are used effectively to deliver highly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engaging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creative learning.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Learners are able to demonstrate their ability to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transfer creativity skills to new contexts.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</w:p>
          <w:p w:rsidR="00A95926" w:rsidRPr="00E13CFF" w:rsidRDefault="00A95926" w:rsidP="00E13C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85757"/>
                <w:sz w:val="20"/>
                <w:szCs w:val="20"/>
              </w:rPr>
            </w:pPr>
            <w:r w:rsidRPr="00E13CFF">
              <w:rPr>
                <w:rFonts w:ascii="Arial" w:hAnsi="Arial" w:cs="Arial"/>
                <w:i/>
                <w:color w:val="585757"/>
                <w:sz w:val="20"/>
                <w:szCs w:val="20"/>
              </w:rPr>
              <w:t>All, or most of the</w:t>
            </w:r>
            <w:r w:rsidR="00E13CFF" w:rsidRPr="00E13CFF">
              <w:rPr>
                <w:rFonts w:ascii="Arial" w:hAnsi="Arial" w:cs="Arial"/>
                <w:i/>
                <w:color w:val="585757"/>
                <w:sz w:val="20"/>
                <w:szCs w:val="20"/>
              </w:rPr>
              <w:t xml:space="preserve"> remaining</w:t>
            </w:r>
            <w:r w:rsidRPr="00E13CFF">
              <w:rPr>
                <w:rFonts w:ascii="Arial" w:hAnsi="Arial" w:cs="Arial"/>
                <w:i/>
                <w:color w:val="585757"/>
                <w:sz w:val="20"/>
                <w:szCs w:val="20"/>
              </w:rPr>
              <w:t xml:space="preserve"> key statements are relevant.</w:t>
            </w:r>
          </w:p>
        </w:tc>
        <w:tc>
          <w:tcPr>
            <w:tcW w:w="8364" w:type="dxa"/>
          </w:tcPr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Do learners and practitioners engage in dialogue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about the development of creativity skills?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Are opportunities to develop creativity skills evident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across all areas of the curriculum?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Are learners transferring their creativity skills to new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contexts?</w:t>
            </w:r>
          </w:p>
          <w:p w:rsidR="00A95926" w:rsidRPr="003E52BD" w:rsidRDefault="00A95926" w:rsidP="00A9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do we support learners to demonstrate and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apply their creativity in international contexts?</w:t>
            </w:r>
          </w:p>
          <w:p w:rsidR="00A95926" w:rsidRPr="003E52BD" w:rsidRDefault="00A95926" w:rsidP="00E13CFF">
            <w:pPr>
              <w:autoSpaceDE w:val="0"/>
              <w:autoSpaceDN w:val="0"/>
              <w:adjustRightInd w:val="0"/>
              <w:rPr>
                <w:rFonts w:ascii="Arial" w:hAnsi="Arial" w:cs="Arial"/>
                <w:color w:val="585757"/>
                <w:sz w:val="20"/>
                <w:szCs w:val="20"/>
              </w:rPr>
            </w:pPr>
            <w:r w:rsidRPr="003E52BD">
              <w:rPr>
                <w:rFonts w:ascii="Arial" w:hAnsi="Arial" w:cs="Arial"/>
                <w:color w:val="00A975"/>
                <w:sz w:val="20"/>
                <w:szCs w:val="20"/>
              </w:rPr>
              <w:t xml:space="preserve">4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How well are learners’ creative endeavours at home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and in the community acknowledged and</w:t>
            </w:r>
            <w:r w:rsidR="00E13CFF">
              <w:rPr>
                <w:rFonts w:ascii="Arial" w:hAnsi="Arial" w:cs="Arial"/>
                <w:color w:val="585757"/>
                <w:sz w:val="20"/>
                <w:szCs w:val="20"/>
              </w:rPr>
              <w:t xml:space="preserve"> </w:t>
            </w:r>
            <w:r w:rsidRPr="003E52BD">
              <w:rPr>
                <w:rFonts w:ascii="Arial" w:hAnsi="Arial" w:cs="Arial"/>
                <w:color w:val="585757"/>
                <w:sz w:val="20"/>
                <w:szCs w:val="20"/>
              </w:rPr>
              <w:t>celebrated?</w:t>
            </w:r>
          </w:p>
        </w:tc>
      </w:tr>
    </w:tbl>
    <w:p w:rsidR="00202114" w:rsidRPr="003E52BD" w:rsidRDefault="00202114">
      <w:pPr>
        <w:rPr>
          <w:rFonts w:ascii="Arial" w:hAnsi="Arial" w:cs="Arial"/>
          <w:sz w:val="20"/>
          <w:szCs w:val="20"/>
        </w:rPr>
      </w:pPr>
    </w:p>
    <w:p w:rsidR="00202114" w:rsidRPr="003E52BD" w:rsidRDefault="00202114">
      <w:pPr>
        <w:rPr>
          <w:rFonts w:ascii="Arial" w:hAnsi="Arial" w:cs="Arial"/>
          <w:sz w:val="20"/>
          <w:szCs w:val="20"/>
        </w:rPr>
      </w:pPr>
    </w:p>
    <w:sectPr w:rsidR="00202114" w:rsidRPr="003E52BD" w:rsidSect="003E5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A82"/>
    <w:multiLevelType w:val="hybridMultilevel"/>
    <w:tmpl w:val="16FC41E8"/>
    <w:lvl w:ilvl="0" w:tplc="40823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14"/>
    <w:rsid w:val="001A71BC"/>
    <w:rsid w:val="00202114"/>
    <w:rsid w:val="003E52BD"/>
    <w:rsid w:val="00A95926"/>
    <w:rsid w:val="00AB4814"/>
    <w:rsid w:val="00E13CFF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20C71-3967-4627-9857-32226A28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5</cp:revision>
  <dcterms:created xsi:type="dcterms:W3CDTF">2017-02-27T11:44:00Z</dcterms:created>
  <dcterms:modified xsi:type="dcterms:W3CDTF">2017-02-27T12:23:00Z</dcterms:modified>
</cp:coreProperties>
</file>