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F8" w:rsidRPr="00152AF8" w:rsidRDefault="00152AF8" w:rsidP="00152AF8">
      <w:pPr>
        <w:shd w:val="clear" w:color="auto" w:fill="FFFFFF"/>
        <w:spacing w:after="0" w:line="240" w:lineRule="auto"/>
        <w:ind w:hanging="709"/>
        <w:outlineLvl w:val="3"/>
        <w:rPr>
          <w:rFonts w:eastAsia="Times New Roman" w:cstheme="minorHAnsi"/>
          <w:b/>
          <w:bCs/>
          <w:color w:val="335183"/>
          <w:sz w:val="23"/>
          <w:szCs w:val="23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335183"/>
          <w:sz w:val="23"/>
          <w:szCs w:val="23"/>
          <w:lang w:eastAsia="en-GB"/>
        </w:rPr>
        <w:t xml:space="preserve">  GIRFEC </w:t>
      </w:r>
      <w:r w:rsidRPr="00152AF8">
        <w:rPr>
          <w:rFonts w:eastAsia="Times New Roman" w:cstheme="minorHAnsi"/>
          <w:b/>
          <w:bCs/>
          <w:color w:val="335183"/>
          <w:sz w:val="23"/>
          <w:szCs w:val="23"/>
          <w:lang w:eastAsia="en-GB"/>
        </w:rPr>
        <w:t>Values and principles</w:t>
      </w:r>
    </w:p>
    <w:p w:rsidR="00152AF8" w:rsidRPr="00152AF8" w:rsidRDefault="00152AF8" w:rsidP="00152AF8">
      <w:pPr>
        <w:shd w:val="clear" w:color="auto" w:fill="FFFFFF"/>
        <w:spacing w:before="100" w:beforeAutospacing="1" w:after="240" w:line="240" w:lineRule="auto"/>
        <w:ind w:left="-567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Getting it right for every child values and principles build from the </w:t>
      </w:r>
      <w:hyperlink r:id="rId5" w:history="1">
        <w:r w:rsidRPr="00152AF8">
          <w:rPr>
            <w:rFonts w:eastAsia="Times New Roman" w:cstheme="minorHAnsi"/>
            <w:color w:val="0065BD"/>
            <w:sz w:val="20"/>
            <w:szCs w:val="20"/>
            <w:u w:val="single"/>
            <w:lang w:eastAsia="en-GB"/>
          </w:rPr>
          <w:t>Children’s Charter</w:t>
        </w:r>
      </w:hyperlink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reflect legislation, standards, procedures and professional expertise: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Promoting the wellbeing of individual children and young people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proofErr w:type="gramStart"/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t>This</w:t>
      </w:r>
      <w:proofErr w:type="gramEnd"/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is based on understanding how children and young people develop in their families and communities, and addressing their needs at the earliest possible time.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Keeping children and young people safe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Emotional and physical wellbeing is fundamental and goes wider than child protection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Putting the child at the centre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Children and young people should have their views listened to and they should be involved in decisions that affect them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Taking a whole child approach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Recognising that what is going on in one part of a child or young person’s life can affect many other areas of their life and wellbeing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Building on strengths and promoting resilience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Using a child or young person’s existing networks and support where possible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Providing opportunities to celebrate diversity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Children and young people should feel valued in all circumstances and practitioners should create opportunities to celebrate diversity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Providing additional help that is appropriate, proportionate and timely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Providing help as early as possible and considering short and long-term wellbeing needs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Supporting informed choice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Supporting children, young people and families in understanding what help is possible and what their choices may be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Working in partnership with families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Supporting, wherever possible, those who know the child or young person well, know what they need, what works well for them and what might be less helpful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Respecting confidentiality and sharing information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Sharing information that is relevant and proportionate while safeguarding children and young people’s right to confidentiality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Promoting the same values across all working relationships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Recognising respect, patience, honesty, reliability, resilience and integrity are qualities valued by children, young people, their families and colleagues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Making the most of bringing together each worker’s expertise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Respecting the contribution of others and co-operating with them, recognising that sharing responsibility does not mean acting beyond a worker’s competence or responsibilities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Co-ordinating help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  <w:t>Recognising that children, young people and their families need practitioners to work together, when appropriate, to provide the best possible help</w:t>
      </w:r>
    </w:p>
    <w:p w:rsidR="00152AF8" w:rsidRPr="00152AF8" w:rsidRDefault="00152AF8" w:rsidP="00152AF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152AF8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Building a competent workforce to promote children and young people’s wellbeing</w:t>
      </w:r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proofErr w:type="gramStart"/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t>Committed</w:t>
      </w:r>
      <w:proofErr w:type="gramEnd"/>
      <w:r w:rsidRPr="00152AF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continuing individual learning and development and improvement of inter-professional practice.</w:t>
      </w:r>
    </w:p>
    <w:p w:rsidR="00634CD4" w:rsidRPr="00152AF8" w:rsidRDefault="00634CD4">
      <w:pPr>
        <w:rPr>
          <w:rFonts w:cstheme="minorHAnsi"/>
          <w:sz w:val="20"/>
          <w:szCs w:val="20"/>
        </w:rPr>
      </w:pPr>
    </w:p>
    <w:sectPr w:rsidR="00634CD4" w:rsidRPr="0015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627C"/>
    <w:multiLevelType w:val="multilevel"/>
    <w:tmpl w:val="EC9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F8"/>
    <w:rsid w:val="00152AF8"/>
    <w:rsid w:val="00634CD4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11F2B-2534-48E4-8B06-50E92651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855">
                  <w:marLeft w:val="2985"/>
                  <w:marRight w:val="29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tland.gov.uk/Publications/2004/04/19082/34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Kennedy</dc:creator>
  <cp:keywords/>
  <dc:description/>
  <cp:lastModifiedBy>Evelyn Kennedy</cp:lastModifiedBy>
  <cp:revision>2</cp:revision>
  <dcterms:created xsi:type="dcterms:W3CDTF">2015-11-13T14:33:00Z</dcterms:created>
  <dcterms:modified xsi:type="dcterms:W3CDTF">2015-11-13T14:33:00Z</dcterms:modified>
</cp:coreProperties>
</file>