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EB" w:rsidRPr="00795E6B" w:rsidRDefault="001F4DEB" w:rsidP="001F4DEB">
      <w:pPr>
        <w:rPr>
          <w:b/>
          <w:sz w:val="28"/>
          <w:szCs w:val="28"/>
        </w:rPr>
      </w:pPr>
      <w:r w:rsidRPr="00795E6B">
        <w:rPr>
          <w:b/>
          <w:sz w:val="28"/>
          <w:szCs w:val="28"/>
        </w:rPr>
        <w:t>Approaches to assessment and moderation 2012 – 2013</w:t>
      </w:r>
    </w:p>
    <w:p w:rsidR="00531750" w:rsidRPr="002608E2" w:rsidRDefault="001F4DEB" w:rsidP="001F4D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Report </w:t>
      </w:r>
      <w:r w:rsidR="00531750">
        <w:rPr>
          <w:b/>
          <w:sz w:val="28"/>
          <w:szCs w:val="28"/>
        </w:rPr>
        <w:t xml:space="preserve">on </w:t>
      </w:r>
      <w:r w:rsidR="00531750" w:rsidRPr="00795E6B">
        <w:rPr>
          <w:b/>
          <w:sz w:val="28"/>
          <w:szCs w:val="28"/>
        </w:rPr>
        <w:t>‘Innovation</w:t>
      </w:r>
      <w:r w:rsidRPr="00795E6B">
        <w:rPr>
          <w:b/>
          <w:sz w:val="28"/>
          <w:szCs w:val="28"/>
        </w:rPr>
        <w:t xml:space="preserve"> Funding’ – Moderation of skills across learning.</w:t>
      </w:r>
      <w:bookmarkStart w:id="0" w:name="_GoBack"/>
      <w:bookmarkEnd w:id="0"/>
      <w:r w:rsidR="00531750">
        <w:rPr>
          <w:sz w:val="24"/>
          <w:szCs w:val="24"/>
        </w:rPr>
        <w:t xml:space="preserve">As previously intimated you are required </w:t>
      </w:r>
      <w:r w:rsidR="00531750" w:rsidRPr="00795E6B">
        <w:rPr>
          <w:sz w:val="24"/>
          <w:szCs w:val="24"/>
        </w:rPr>
        <w:t xml:space="preserve">to provide a brief report on how the funding has supported </w:t>
      </w:r>
      <w:r w:rsidR="00531750">
        <w:rPr>
          <w:sz w:val="24"/>
          <w:szCs w:val="24"/>
        </w:rPr>
        <w:t>your</w:t>
      </w:r>
      <w:r w:rsidR="00531750" w:rsidRPr="00795E6B">
        <w:rPr>
          <w:sz w:val="24"/>
          <w:szCs w:val="24"/>
        </w:rPr>
        <w:t xml:space="preserve"> work and how their work has impacted on the pupil experience</w:t>
      </w:r>
    </w:p>
    <w:p w:rsidR="00531750" w:rsidRDefault="00531750" w:rsidP="001F4DE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 would be grateful if you would complete the pro-forma and return to me at </w:t>
      </w:r>
      <w:hyperlink r:id="rId6" w:history="1">
        <w:r w:rsidRPr="0000012B">
          <w:rPr>
            <w:rStyle w:val="Hyperlink"/>
            <w:sz w:val="24"/>
            <w:szCs w:val="24"/>
          </w:rPr>
          <w:t>carol.paton@falkirk.gov.uk</w:t>
        </w:r>
      </w:hyperlink>
      <w:r>
        <w:rPr>
          <w:sz w:val="24"/>
          <w:szCs w:val="24"/>
        </w:rPr>
        <w:t xml:space="preserve">  by </w:t>
      </w:r>
      <w:r w:rsidRPr="00531750">
        <w:rPr>
          <w:b/>
          <w:sz w:val="24"/>
          <w:szCs w:val="24"/>
        </w:rPr>
        <w:t>10</w:t>
      </w:r>
      <w:r w:rsidRPr="00531750">
        <w:rPr>
          <w:b/>
          <w:sz w:val="24"/>
          <w:szCs w:val="24"/>
          <w:vertAlign w:val="superscript"/>
        </w:rPr>
        <w:t>th</w:t>
      </w:r>
      <w:r w:rsidRPr="00531750">
        <w:rPr>
          <w:b/>
          <w:sz w:val="24"/>
          <w:szCs w:val="24"/>
        </w:rPr>
        <w:t xml:space="preserve"> June 2013.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531750" w:rsidTr="0026075A">
        <w:tc>
          <w:tcPr>
            <w:tcW w:w="4621" w:type="dxa"/>
          </w:tcPr>
          <w:p w:rsidR="00531750" w:rsidRPr="000033A8" w:rsidRDefault="00531750" w:rsidP="0026075A">
            <w:pPr>
              <w:rPr>
                <w:b/>
              </w:rPr>
            </w:pPr>
            <w:r w:rsidRPr="000033A8">
              <w:rPr>
                <w:b/>
              </w:rPr>
              <w:t xml:space="preserve">School: </w:t>
            </w:r>
          </w:p>
          <w:p w:rsidR="00531750" w:rsidRDefault="002608E2" w:rsidP="0026075A">
            <w:r>
              <w:t>St Mungo’s Cluster</w:t>
            </w:r>
          </w:p>
        </w:tc>
        <w:tc>
          <w:tcPr>
            <w:tcW w:w="4621" w:type="dxa"/>
          </w:tcPr>
          <w:p w:rsidR="00531750" w:rsidRPr="000033A8" w:rsidRDefault="00531750" w:rsidP="0026075A">
            <w:pPr>
              <w:rPr>
                <w:b/>
              </w:rPr>
            </w:pPr>
            <w:r w:rsidRPr="000033A8">
              <w:rPr>
                <w:b/>
              </w:rPr>
              <w:t>Accountable Person:</w:t>
            </w:r>
          </w:p>
          <w:p w:rsidR="00531750" w:rsidRDefault="002608E2" w:rsidP="0026075A">
            <w:r>
              <w:t>Cathy Quinn</w:t>
            </w:r>
          </w:p>
          <w:p w:rsidR="00531750" w:rsidRDefault="00531750" w:rsidP="0026075A"/>
        </w:tc>
      </w:tr>
      <w:tr w:rsidR="00531750" w:rsidTr="0026075A">
        <w:tc>
          <w:tcPr>
            <w:tcW w:w="9242" w:type="dxa"/>
            <w:gridSpan w:val="2"/>
          </w:tcPr>
          <w:p w:rsidR="00531750" w:rsidRPr="000033A8" w:rsidRDefault="00531750" w:rsidP="0026075A">
            <w:pPr>
              <w:rPr>
                <w:b/>
              </w:rPr>
            </w:pPr>
            <w:r w:rsidRPr="000033A8">
              <w:rPr>
                <w:b/>
              </w:rPr>
              <w:t>Focus:</w:t>
            </w:r>
          </w:p>
        </w:tc>
      </w:tr>
      <w:tr w:rsidR="00531750" w:rsidTr="0026075A">
        <w:tc>
          <w:tcPr>
            <w:tcW w:w="9242" w:type="dxa"/>
            <w:gridSpan w:val="2"/>
          </w:tcPr>
          <w:p w:rsidR="00531750" w:rsidRPr="00531750" w:rsidRDefault="00531750" w:rsidP="0026075A">
            <w:pPr>
              <w:rPr>
                <w:b/>
              </w:rPr>
            </w:pPr>
            <w:r w:rsidRPr="00531750">
              <w:rPr>
                <w:b/>
              </w:rPr>
              <w:t>What was innovative about your approach to moderation of skills?</w:t>
            </w:r>
          </w:p>
          <w:p w:rsidR="00531750" w:rsidRPr="00531750" w:rsidRDefault="00531750" w:rsidP="0026075A"/>
          <w:p w:rsidR="002608E2" w:rsidRDefault="002608E2" w:rsidP="002608E2">
            <w:pPr>
              <w:rPr>
                <w:b/>
              </w:rPr>
            </w:pPr>
            <w:r w:rsidRPr="0064645F">
              <w:rPr>
                <w:b/>
              </w:rPr>
              <w:t>Our aim is to improve the teaching of numeracy and maths; particularly mental agility skills.</w:t>
            </w:r>
            <w:r>
              <w:rPr>
                <w:b/>
              </w:rPr>
              <w:t xml:space="preserve"> We are using the methodologies and strategies for the ‘Big Maths Resource’. </w:t>
            </w:r>
            <w:r w:rsidRPr="0064645F">
              <w:rPr>
                <w:b/>
              </w:rPr>
              <w:t xml:space="preserve"> We are keen to ensure that the teaching of these skills is coherent across the cluster. We have arranged a joint CAT sessions so that teachers from all school will meet with colleagues teaching at the same stage/level.  The initial meeting will give the teachers the opportunity to discuss the implementation of one aspect in this resource – ‘Learn Its’.  We would then hope to have in-school and cross school- observations to monitor and moderate the impact of the ‘learn It’ strategy at each level.  </w:t>
            </w:r>
          </w:p>
          <w:p w:rsidR="002608E2" w:rsidRDefault="002608E2" w:rsidP="002608E2">
            <w:pPr>
              <w:rPr>
                <w:b/>
              </w:rPr>
            </w:pPr>
          </w:p>
          <w:p w:rsidR="002608E2" w:rsidRPr="0064645F" w:rsidRDefault="002608E2" w:rsidP="002608E2">
            <w:pPr>
              <w:rPr>
                <w:b/>
              </w:rPr>
            </w:pPr>
            <w:r>
              <w:rPr>
                <w:b/>
              </w:rPr>
              <w:t>We have had one initial meeting but this will be part of the Cluster Improvement Plan for session 2013/2014.</w:t>
            </w:r>
          </w:p>
          <w:p w:rsidR="00531750" w:rsidRPr="00531750" w:rsidRDefault="00531750" w:rsidP="0026075A"/>
        </w:tc>
      </w:tr>
      <w:tr w:rsidR="00531750" w:rsidTr="0026075A">
        <w:tc>
          <w:tcPr>
            <w:tcW w:w="9242" w:type="dxa"/>
            <w:gridSpan w:val="2"/>
          </w:tcPr>
          <w:p w:rsidR="00531750" w:rsidRPr="00531750" w:rsidRDefault="00531750" w:rsidP="0026075A">
            <w:pPr>
              <w:rPr>
                <w:b/>
              </w:rPr>
            </w:pPr>
            <w:r w:rsidRPr="00531750">
              <w:rPr>
                <w:b/>
              </w:rPr>
              <w:t>What impact did this approach have on :</w:t>
            </w:r>
          </w:p>
          <w:p w:rsidR="00531750" w:rsidRPr="00531750" w:rsidRDefault="00531750" w:rsidP="0026075A"/>
          <w:p w:rsidR="00531750" w:rsidRPr="00531750" w:rsidRDefault="00531750" w:rsidP="0026075A">
            <w:pPr>
              <w:rPr>
                <w:b/>
              </w:rPr>
            </w:pPr>
            <w:r w:rsidRPr="00531750">
              <w:rPr>
                <w:b/>
              </w:rPr>
              <w:t>Pupils’ learning</w:t>
            </w:r>
          </w:p>
          <w:p w:rsidR="00531750" w:rsidRPr="00531750" w:rsidRDefault="00531750" w:rsidP="0026075A"/>
          <w:p w:rsidR="00531750" w:rsidRPr="00531750" w:rsidRDefault="002608E2" w:rsidP="0026075A">
            <w:r>
              <w:t>N/A at this point</w:t>
            </w:r>
          </w:p>
          <w:p w:rsidR="00531750" w:rsidRPr="00531750" w:rsidRDefault="00531750" w:rsidP="0026075A"/>
          <w:p w:rsidR="00531750" w:rsidRPr="00531750" w:rsidRDefault="00531750" w:rsidP="0026075A">
            <w:pPr>
              <w:rPr>
                <w:b/>
              </w:rPr>
            </w:pPr>
            <w:r w:rsidRPr="00531750">
              <w:rPr>
                <w:b/>
              </w:rPr>
              <w:t>Teacher planning</w:t>
            </w:r>
          </w:p>
          <w:p w:rsidR="00531750" w:rsidRPr="00531750" w:rsidRDefault="00531750" w:rsidP="0026075A"/>
          <w:p w:rsidR="00531750" w:rsidRPr="00531750" w:rsidRDefault="002608E2" w:rsidP="0026075A">
            <w:r>
              <w:t>The initial meeting has allowed each school the chance to consider if and how they will develop the Big Maths approach in their establishment.</w:t>
            </w:r>
          </w:p>
          <w:p w:rsidR="00531750" w:rsidRPr="00531750" w:rsidRDefault="00531750" w:rsidP="0026075A"/>
        </w:tc>
      </w:tr>
      <w:tr w:rsidR="00531750" w:rsidTr="0026075A">
        <w:tc>
          <w:tcPr>
            <w:tcW w:w="9242" w:type="dxa"/>
            <w:gridSpan w:val="2"/>
          </w:tcPr>
          <w:p w:rsidR="00531750" w:rsidRPr="00531750" w:rsidRDefault="00531750" w:rsidP="0026075A">
            <w:pPr>
              <w:rPr>
                <w:b/>
              </w:rPr>
            </w:pPr>
            <w:r w:rsidRPr="00531750">
              <w:rPr>
                <w:b/>
              </w:rPr>
              <w:t>How did you evaluate this impact?</w:t>
            </w:r>
          </w:p>
          <w:p w:rsidR="00531750" w:rsidRPr="00531750" w:rsidRDefault="00531750" w:rsidP="0026075A"/>
          <w:p w:rsidR="00531750" w:rsidRPr="00531750" w:rsidRDefault="00531750" w:rsidP="0026075A"/>
          <w:p w:rsidR="002608E2" w:rsidRPr="00531750" w:rsidRDefault="002608E2" w:rsidP="002608E2">
            <w:r>
              <w:t>N/A at this point</w:t>
            </w:r>
          </w:p>
          <w:p w:rsidR="00531750" w:rsidRPr="00531750" w:rsidRDefault="00531750" w:rsidP="0026075A"/>
        </w:tc>
      </w:tr>
      <w:tr w:rsidR="00531750" w:rsidTr="0026075A">
        <w:tc>
          <w:tcPr>
            <w:tcW w:w="9242" w:type="dxa"/>
            <w:gridSpan w:val="2"/>
          </w:tcPr>
          <w:p w:rsidR="00531750" w:rsidRPr="00531750" w:rsidRDefault="00531750" w:rsidP="0026075A">
            <w:pPr>
              <w:rPr>
                <w:b/>
              </w:rPr>
            </w:pPr>
            <w:r w:rsidRPr="00531750">
              <w:rPr>
                <w:b/>
              </w:rPr>
              <w:t>What will you take forward from this experience?</w:t>
            </w:r>
          </w:p>
          <w:p w:rsidR="00531750" w:rsidRPr="00531750" w:rsidRDefault="00531750" w:rsidP="0026075A"/>
          <w:p w:rsidR="00531750" w:rsidRPr="00531750" w:rsidRDefault="002608E2" w:rsidP="0026075A">
            <w:r>
              <w:t>Continue to further develop in session 2013/2014</w:t>
            </w:r>
          </w:p>
          <w:p w:rsidR="00531750" w:rsidRPr="00531750" w:rsidRDefault="00531750" w:rsidP="0026075A"/>
          <w:p w:rsidR="00531750" w:rsidRPr="00531750" w:rsidRDefault="00531750" w:rsidP="0026075A"/>
          <w:p w:rsidR="00531750" w:rsidRPr="00531750" w:rsidRDefault="00531750" w:rsidP="0026075A"/>
          <w:p w:rsidR="00531750" w:rsidRPr="00531750" w:rsidRDefault="00531750" w:rsidP="0026075A"/>
        </w:tc>
      </w:tr>
    </w:tbl>
    <w:p w:rsidR="00531750" w:rsidRDefault="00531750" w:rsidP="001F4DEB">
      <w:pPr>
        <w:rPr>
          <w:b/>
          <w:sz w:val="24"/>
          <w:szCs w:val="24"/>
        </w:rPr>
      </w:pPr>
    </w:p>
    <w:p w:rsidR="00531750" w:rsidRDefault="00531750" w:rsidP="001F4DEB">
      <w:pPr>
        <w:rPr>
          <w:b/>
          <w:sz w:val="24"/>
          <w:szCs w:val="24"/>
        </w:rPr>
      </w:pPr>
    </w:p>
    <w:p w:rsidR="00531750" w:rsidRPr="00531750" w:rsidRDefault="00531750" w:rsidP="001F4DEB">
      <w:pPr>
        <w:rPr>
          <w:b/>
          <w:sz w:val="24"/>
          <w:szCs w:val="24"/>
        </w:rPr>
      </w:pPr>
    </w:p>
    <w:p w:rsidR="001F4DEB" w:rsidRDefault="001F4DEB"/>
    <w:p w:rsidR="001F4DEB" w:rsidRDefault="001F4DEB">
      <w:r>
        <w:tab/>
      </w:r>
      <w:r>
        <w:tab/>
      </w:r>
    </w:p>
    <w:sectPr w:rsidR="001F4DEB" w:rsidSect="00BE7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DEB" w:rsidRDefault="001F4DEB" w:rsidP="001F4DEB">
      <w:pPr>
        <w:spacing w:after="0" w:line="240" w:lineRule="auto"/>
      </w:pPr>
      <w:r>
        <w:separator/>
      </w:r>
    </w:p>
  </w:endnote>
  <w:endnote w:type="continuationSeparator" w:id="0">
    <w:p w:rsidR="001F4DEB" w:rsidRDefault="001F4DEB" w:rsidP="001F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DEB" w:rsidRDefault="001F4DEB" w:rsidP="001F4DEB">
      <w:pPr>
        <w:spacing w:after="0" w:line="240" w:lineRule="auto"/>
      </w:pPr>
      <w:r>
        <w:separator/>
      </w:r>
    </w:p>
  </w:footnote>
  <w:footnote w:type="continuationSeparator" w:id="0">
    <w:p w:rsidR="001F4DEB" w:rsidRDefault="001F4DEB" w:rsidP="001F4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4DEB"/>
    <w:rsid w:val="000033A8"/>
    <w:rsid w:val="001F4DEB"/>
    <w:rsid w:val="002608E2"/>
    <w:rsid w:val="003B71FB"/>
    <w:rsid w:val="00531750"/>
    <w:rsid w:val="00634F49"/>
    <w:rsid w:val="00865FCE"/>
    <w:rsid w:val="00BE7218"/>
    <w:rsid w:val="00F6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F4D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4D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4DE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317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17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F4D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4D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4DE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317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17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.paton@falkirk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Paton</dc:creator>
  <cp:lastModifiedBy>Carol Paton</cp:lastModifiedBy>
  <cp:revision>2</cp:revision>
  <dcterms:created xsi:type="dcterms:W3CDTF">2013-06-14T12:54:00Z</dcterms:created>
  <dcterms:modified xsi:type="dcterms:W3CDTF">2013-06-14T12:54:00Z</dcterms:modified>
</cp:coreProperties>
</file>