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2A" w:rsidRDefault="007A4B2A" w:rsidP="007A4B2A">
      <w:pPr>
        <w:jc w:val="both"/>
        <w:rPr>
          <w:rFonts w:ascii="Calibri" w:hAnsi="Calibri"/>
          <w:b/>
          <w:color w:val="FF0000"/>
          <w:lang w:val="en-GB"/>
        </w:rPr>
      </w:pPr>
      <w:r w:rsidRPr="00CE7BCC">
        <w:rPr>
          <w:rFonts w:ascii="Calibri" w:hAnsi="Calibri"/>
          <w:b/>
          <w:color w:val="FF0000"/>
          <w:lang w:val="en-GB"/>
        </w:rPr>
        <w:t xml:space="preserve">SECTION THREE – THE SCHOOL CURRICULUM </w:t>
      </w:r>
    </w:p>
    <w:p w:rsidR="007A4B2A" w:rsidRPr="00CE7BCC" w:rsidRDefault="007A4B2A" w:rsidP="007A4B2A">
      <w:pPr>
        <w:jc w:val="both"/>
        <w:rPr>
          <w:rFonts w:ascii="Calibri" w:hAnsi="Calibri"/>
          <w:color w:val="FF0000"/>
          <w:lang w:val="en-GB"/>
        </w:rPr>
      </w:pPr>
      <w:bookmarkStart w:id="0" w:name="_GoBack"/>
      <w:bookmarkEnd w:id="0"/>
    </w:p>
    <w:p w:rsidR="007A4B2A" w:rsidRPr="0039299F" w:rsidRDefault="007A4B2A" w:rsidP="007A4B2A">
      <w:pPr>
        <w:jc w:val="both"/>
        <w:rPr>
          <w:rFonts w:ascii="Calibri" w:hAnsi="Calibri"/>
          <w:b/>
          <w:sz w:val="22"/>
          <w:szCs w:val="22"/>
        </w:rPr>
      </w:pPr>
      <w:r w:rsidRPr="0039299F">
        <w:rPr>
          <w:rFonts w:ascii="Calibri" w:hAnsi="Calibri"/>
          <w:b/>
          <w:sz w:val="22"/>
          <w:szCs w:val="22"/>
        </w:rPr>
        <w:t>Curriculum for Excellence</w:t>
      </w:r>
      <w:r>
        <w:rPr>
          <w:rFonts w:ascii="Calibri" w:hAnsi="Calibri"/>
          <w:b/>
          <w:sz w:val="22"/>
          <w:szCs w:val="22"/>
        </w:rPr>
        <w:t xml:space="preserve"> (</w:t>
      </w:r>
      <w:proofErr w:type="spellStart"/>
      <w:r>
        <w:rPr>
          <w:rFonts w:ascii="Calibri" w:hAnsi="Calibri"/>
          <w:b/>
          <w:sz w:val="22"/>
          <w:szCs w:val="22"/>
        </w:rPr>
        <w:t>CfE</w:t>
      </w:r>
      <w:proofErr w:type="spellEnd"/>
      <w:r>
        <w:rPr>
          <w:rFonts w:ascii="Calibri" w:hAnsi="Calibri"/>
          <w:b/>
          <w:sz w:val="22"/>
          <w:szCs w:val="22"/>
        </w:rPr>
        <w:t>):</w:t>
      </w:r>
      <w:r w:rsidRPr="0039299F">
        <w:rPr>
          <w:rFonts w:ascii="Calibri" w:hAnsi="Calibri"/>
          <w:b/>
          <w:sz w:val="22"/>
          <w:szCs w:val="22"/>
        </w:rPr>
        <w:t xml:space="preserve"> </w:t>
      </w:r>
      <w:r w:rsidRPr="0039299F">
        <w:rPr>
          <w:rFonts w:ascii="Calibri" w:hAnsi="Calibri"/>
          <w:sz w:val="22"/>
          <w:szCs w:val="22"/>
        </w:rPr>
        <w:t>it seeks to achieve the following outcomes:</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a single curriculum 3-18, supported by a simple and effective structure of assessment and qualifications: this will allow the right pace and challenge for young people, particularly at critical points of transition from nursery to primary and from primary to secondary;</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greater choice and opportunity, earlier, for some young people, to help them realise their individual talents and to help close the gap by engaging those who may switch off from education too young;</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more skills for work options for young people, robustly assessed and helping them to progress into further qualifications or work – developing a young workforce;</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more space in the curriculum for work in depth, and to ensure that pupils develop the literacy, numeracy and other skills and knowledge they will need for life and work;</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young people achieving broad outcomes, both through subject teaching and</w:t>
      </w:r>
      <w:r>
        <w:rPr>
          <w:rFonts w:ascii="Calibri" w:hAnsi="Calibri"/>
          <w:sz w:val="22"/>
          <w:szCs w:val="22"/>
        </w:rPr>
        <w:t xml:space="preserve"> </w:t>
      </w:r>
      <w:r w:rsidRPr="0039299F">
        <w:rPr>
          <w:rFonts w:ascii="Calibri" w:hAnsi="Calibri"/>
          <w:sz w:val="22"/>
          <w:szCs w:val="22"/>
        </w:rPr>
        <w:t>cross-subject</w:t>
      </w:r>
      <w:r>
        <w:rPr>
          <w:rFonts w:ascii="Calibri" w:hAnsi="Calibri"/>
          <w:sz w:val="22"/>
          <w:szCs w:val="22"/>
        </w:rPr>
        <w:t xml:space="preserve"> learning experiences including inter-disciplinary learning</w:t>
      </w:r>
      <w:r w:rsidRPr="0039299F">
        <w:rPr>
          <w:rFonts w:ascii="Calibri" w:hAnsi="Calibri"/>
          <w:sz w:val="22"/>
          <w:szCs w:val="22"/>
        </w:rPr>
        <w:t>;</w:t>
      </w:r>
    </w:p>
    <w:p w:rsidR="007A4B2A" w:rsidRPr="0039299F" w:rsidRDefault="007A4B2A" w:rsidP="007A4B2A">
      <w:pPr>
        <w:numPr>
          <w:ilvl w:val="0"/>
          <w:numId w:val="1"/>
        </w:numPr>
        <w:jc w:val="both"/>
        <w:rPr>
          <w:rFonts w:ascii="Calibri" w:hAnsi="Calibri"/>
          <w:sz w:val="22"/>
          <w:szCs w:val="22"/>
        </w:rPr>
      </w:pPr>
      <w:r w:rsidRPr="0039299F">
        <w:rPr>
          <w:rFonts w:ascii="Calibri" w:hAnsi="Calibri"/>
          <w:sz w:val="22"/>
          <w:szCs w:val="22"/>
        </w:rPr>
        <w:t xml:space="preserve">opportunities for sport, music, drama, dance, art, learning about health, sustainable development and enterprise, and other activities that broaden </w:t>
      </w:r>
      <w:r>
        <w:rPr>
          <w:rFonts w:ascii="Calibri" w:hAnsi="Calibri"/>
          <w:sz w:val="22"/>
          <w:szCs w:val="22"/>
        </w:rPr>
        <w:t xml:space="preserve">children’s </w:t>
      </w:r>
      <w:r w:rsidRPr="0039299F">
        <w:rPr>
          <w:rFonts w:ascii="Calibri" w:hAnsi="Calibri"/>
          <w:sz w:val="22"/>
          <w:szCs w:val="22"/>
        </w:rPr>
        <w:t>life experiences</w:t>
      </w:r>
      <w:r>
        <w:rPr>
          <w:rFonts w:ascii="Calibri" w:hAnsi="Calibri"/>
          <w:sz w:val="22"/>
          <w:szCs w:val="22"/>
        </w:rPr>
        <w:t>, life chances &amp; skills</w:t>
      </w:r>
    </w:p>
    <w:p w:rsidR="007A4B2A" w:rsidRPr="003A3227" w:rsidRDefault="007A4B2A" w:rsidP="007A4B2A">
      <w:pPr>
        <w:rPr>
          <w:rFonts w:ascii="Calibri" w:hAnsi="Calibri"/>
          <w:b/>
        </w:rPr>
      </w:pPr>
    </w:p>
    <w:p w:rsidR="007A4B2A" w:rsidRPr="0039299F" w:rsidRDefault="007A4B2A" w:rsidP="007A4B2A">
      <w:pPr>
        <w:rPr>
          <w:rFonts w:ascii="Calibri" w:hAnsi="Calibri"/>
          <w:b/>
          <w:sz w:val="22"/>
          <w:szCs w:val="22"/>
        </w:rPr>
      </w:pPr>
      <w:r w:rsidRPr="0039299F">
        <w:rPr>
          <w:rFonts w:ascii="Calibri" w:hAnsi="Calibri"/>
          <w:b/>
          <w:sz w:val="22"/>
          <w:szCs w:val="22"/>
        </w:rPr>
        <w:t>Values and Purposes</w:t>
      </w:r>
    </w:p>
    <w:p w:rsidR="007A4B2A" w:rsidRPr="0039299F" w:rsidRDefault="007A4B2A" w:rsidP="007A4B2A">
      <w:pPr>
        <w:rPr>
          <w:rFonts w:ascii="Calibri" w:hAnsi="Calibri"/>
          <w:sz w:val="22"/>
          <w:szCs w:val="22"/>
        </w:rPr>
      </w:pPr>
      <w:r w:rsidRPr="0039299F">
        <w:rPr>
          <w:rFonts w:ascii="Calibri" w:hAnsi="Calibri"/>
          <w:sz w:val="22"/>
          <w:szCs w:val="22"/>
        </w:rPr>
        <w:t>The curriculum is based on the values of wisdom, justice, compassion and integrity, and aims to develop four linked capacities. The aspiration for all learners is that they should be:</w:t>
      </w:r>
    </w:p>
    <w:p w:rsidR="007A4B2A" w:rsidRPr="0039299F" w:rsidRDefault="007A4B2A" w:rsidP="007A4B2A">
      <w:pPr>
        <w:numPr>
          <w:ilvl w:val="0"/>
          <w:numId w:val="2"/>
        </w:numPr>
        <w:rPr>
          <w:rFonts w:ascii="Calibri" w:hAnsi="Calibri"/>
          <w:sz w:val="22"/>
          <w:szCs w:val="22"/>
        </w:rPr>
      </w:pPr>
      <w:r w:rsidRPr="0039299F">
        <w:rPr>
          <w:rFonts w:ascii="Calibri" w:hAnsi="Calibri"/>
          <w:sz w:val="22"/>
          <w:szCs w:val="22"/>
        </w:rPr>
        <w:t>Successful learners, who make progress and achieve</w:t>
      </w:r>
    </w:p>
    <w:p w:rsidR="007A4B2A" w:rsidRPr="0039299F" w:rsidRDefault="007A4B2A" w:rsidP="007A4B2A">
      <w:pPr>
        <w:numPr>
          <w:ilvl w:val="0"/>
          <w:numId w:val="2"/>
        </w:numPr>
        <w:rPr>
          <w:rFonts w:ascii="Calibri" w:hAnsi="Calibri"/>
          <w:sz w:val="22"/>
          <w:szCs w:val="22"/>
        </w:rPr>
      </w:pPr>
      <w:r w:rsidRPr="0039299F">
        <w:rPr>
          <w:rFonts w:ascii="Calibri" w:hAnsi="Calibri"/>
          <w:sz w:val="22"/>
          <w:szCs w:val="22"/>
        </w:rPr>
        <w:t>Confident individuals, who lead safe and healthy lives</w:t>
      </w:r>
    </w:p>
    <w:p w:rsidR="007A4B2A" w:rsidRPr="0039299F" w:rsidRDefault="007A4B2A" w:rsidP="007A4B2A">
      <w:pPr>
        <w:numPr>
          <w:ilvl w:val="0"/>
          <w:numId w:val="2"/>
        </w:numPr>
        <w:rPr>
          <w:rFonts w:ascii="Calibri" w:hAnsi="Calibri"/>
          <w:sz w:val="22"/>
          <w:szCs w:val="22"/>
        </w:rPr>
      </w:pPr>
      <w:r w:rsidRPr="0039299F">
        <w:rPr>
          <w:rFonts w:ascii="Calibri" w:hAnsi="Calibri"/>
          <w:sz w:val="22"/>
          <w:szCs w:val="22"/>
        </w:rPr>
        <w:t>Responsible citizens, who make a positive contribution to society</w:t>
      </w:r>
    </w:p>
    <w:p w:rsidR="007A4B2A" w:rsidRPr="0039299F" w:rsidRDefault="007A4B2A" w:rsidP="007A4B2A">
      <w:pPr>
        <w:numPr>
          <w:ilvl w:val="0"/>
          <w:numId w:val="2"/>
        </w:numPr>
        <w:rPr>
          <w:rFonts w:ascii="Calibri" w:hAnsi="Calibri"/>
          <w:sz w:val="22"/>
          <w:szCs w:val="22"/>
        </w:rPr>
      </w:pPr>
      <w:r w:rsidRPr="0039299F">
        <w:rPr>
          <w:rFonts w:ascii="Calibri" w:hAnsi="Calibri"/>
          <w:sz w:val="22"/>
          <w:szCs w:val="22"/>
        </w:rPr>
        <w:t>Effective contributors, who can communicate in different settings</w:t>
      </w:r>
    </w:p>
    <w:p w:rsidR="007A4B2A" w:rsidRPr="003A3227" w:rsidRDefault="007A4B2A" w:rsidP="007A4B2A">
      <w:pPr>
        <w:rPr>
          <w:rFonts w:ascii="Calibri" w:hAnsi="Calibri"/>
        </w:rPr>
      </w:pPr>
    </w:p>
    <w:p w:rsidR="007A4B2A" w:rsidRPr="0039299F" w:rsidRDefault="007A4B2A" w:rsidP="007A4B2A">
      <w:pPr>
        <w:jc w:val="both"/>
        <w:rPr>
          <w:rFonts w:ascii="Calibri" w:hAnsi="Calibri"/>
          <w:sz w:val="22"/>
          <w:szCs w:val="22"/>
        </w:rPr>
      </w:pPr>
      <w:r w:rsidRPr="0039299F">
        <w:rPr>
          <w:rFonts w:ascii="Calibri" w:hAnsi="Calibri"/>
          <w:sz w:val="22"/>
          <w:szCs w:val="22"/>
        </w:rPr>
        <w:t>The curriculum is broadly defined as covering:</w:t>
      </w:r>
    </w:p>
    <w:p w:rsidR="007A4B2A" w:rsidRPr="0039299F" w:rsidRDefault="007A4B2A" w:rsidP="007A4B2A">
      <w:pPr>
        <w:numPr>
          <w:ilvl w:val="0"/>
          <w:numId w:val="3"/>
        </w:numPr>
        <w:jc w:val="both"/>
        <w:rPr>
          <w:rFonts w:ascii="Calibri" w:hAnsi="Calibri"/>
          <w:sz w:val="22"/>
          <w:szCs w:val="22"/>
        </w:rPr>
      </w:pPr>
      <w:r w:rsidRPr="0039299F">
        <w:rPr>
          <w:rFonts w:ascii="Calibri" w:hAnsi="Calibri"/>
          <w:sz w:val="22"/>
          <w:szCs w:val="22"/>
        </w:rPr>
        <w:t>The ethos and life of the school</w:t>
      </w:r>
    </w:p>
    <w:p w:rsidR="007A4B2A" w:rsidRPr="0039299F" w:rsidRDefault="007A4B2A" w:rsidP="007A4B2A">
      <w:pPr>
        <w:numPr>
          <w:ilvl w:val="0"/>
          <w:numId w:val="3"/>
        </w:numPr>
        <w:jc w:val="both"/>
        <w:rPr>
          <w:rFonts w:ascii="Calibri" w:hAnsi="Calibri"/>
          <w:sz w:val="22"/>
          <w:szCs w:val="22"/>
        </w:rPr>
      </w:pPr>
      <w:r w:rsidRPr="0039299F">
        <w:rPr>
          <w:rFonts w:ascii="Calibri" w:hAnsi="Calibri"/>
          <w:sz w:val="22"/>
          <w:szCs w:val="22"/>
        </w:rPr>
        <w:t>Curriculum areas and subjects</w:t>
      </w:r>
    </w:p>
    <w:p w:rsidR="007A4B2A" w:rsidRPr="0039299F" w:rsidRDefault="007A4B2A" w:rsidP="007A4B2A">
      <w:pPr>
        <w:numPr>
          <w:ilvl w:val="0"/>
          <w:numId w:val="3"/>
        </w:numPr>
        <w:jc w:val="both"/>
        <w:rPr>
          <w:rFonts w:ascii="Calibri" w:hAnsi="Calibri"/>
          <w:sz w:val="22"/>
          <w:szCs w:val="22"/>
        </w:rPr>
      </w:pPr>
      <w:r w:rsidRPr="0039299F">
        <w:rPr>
          <w:rFonts w:ascii="Calibri" w:hAnsi="Calibri"/>
          <w:sz w:val="22"/>
          <w:szCs w:val="22"/>
        </w:rPr>
        <w:t>Interdisciplinary</w:t>
      </w:r>
      <w:r>
        <w:rPr>
          <w:rFonts w:ascii="Calibri" w:hAnsi="Calibri"/>
          <w:sz w:val="22"/>
          <w:szCs w:val="22"/>
        </w:rPr>
        <w:t xml:space="preserve"> (IDL)</w:t>
      </w:r>
      <w:r w:rsidRPr="0039299F">
        <w:rPr>
          <w:rFonts w:ascii="Calibri" w:hAnsi="Calibri"/>
          <w:sz w:val="22"/>
          <w:szCs w:val="22"/>
        </w:rPr>
        <w:t xml:space="preserve"> projects and studies</w:t>
      </w:r>
    </w:p>
    <w:p w:rsidR="007A4B2A" w:rsidRDefault="007A4B2A" w:rsidP="007A4B2A">
      <w:pPr>
        <w:numPr>
          <w:ilvl w:val="0"/>
          <w:numId w:val="3"/>
        </w:numPr>
        <w:jc w:val="both"/>
        <w:rPr>
          <w:rFonts w:ascii="Calibri" w:hAnsi="Calibri"/>
          <w:sz w:val="22"/>
          <w:szCs w:val="22"/>
        </w:rPr>
      </w:pPr>
      <w:r w:rsidRPr="0039299F">
        <w:rPr>
          <w:rFonts w:ascii="Calibri" w:hAnsi="Calibri"/>
          <w:sz w:val="22"/>
          <w:szCs w:val="22"/>
        </w:rPr>
        <w:t>Opportunities for personal achievemen</w:t>
      </w:r>
      <w:r>
        <w:rPr>
          <w:rFonts w:ascii="Calibri" w:hAnsi="Calibri"/>
          <w:sz w:val="22"/>
          <w:szCs w:val="22"/>
        </w:rPr>
        <w:t>t</w:t>
      </w:r>
    </w:p>
    <w:p w:rsidR="007A4B2A" w:rsidRPr="0039299F" w:rsidRDefault="007A4B2A" w:rsidP="007A4B2A">
      <w:pPr>
        <w:ind w:left="360"/>
        <w:jc w:val="both"/>
        <w:rPr>
          <w:rFonts w:ascii="Calibri" w:hAnsi="Calibri"/>
          <w:sz w:val="22"/>
          <w:szCs w:val="22"/>
        </w:rPr>
      </w:pPr>
      <w:r>
        <w:rPr>
          <w:rFonts w:ascii="Calibri" w:hAnsi="Calibri"/>
          <w:sz w:val="22"/>
          <w:szCs w:val="22"/>
        </w:rPr>
        <w:t>(a Curriculum Overview is shared with parents annually; p</w:t>
      </w:r>
      <w:r w:rsidRPr="0039299F">
        <w:rPr>
          <w:rFonts w:ascii="Calibri" w:hAnsi="Calibri"/>
          <w:sz w:val="22"/>
          <w:szCs w:val="22"/>
        </w:rPr>
        <w:t>upils are provided with opportunities to contribute to their learning – staff consult with them on what they want to learn and how</w:t>
      </w:r>
      <w:r>
        <w:rPr>
          <w:rFonts w:ascii="Calibri" w:hAnsi="Calibri"/>
          <w:sz w:val="22"/>
          <w:szCs w:val="22"/>
        </w:rPr>
        <w:t xml:space="preserve"> and they add to the Curriculum Overview, IDL planners </w:t>
      </w:r>
      <w:r>
        <w:rPr>
          <w:rFonts w:ascii="Calibri" w:hAnsi="Calibri"/>
          <w:sz w:val="22"/>
          <w:szCs w:val="22"/>
        </w:rPr>
        <w:t>etc.</w:t>
      </w:r>
      <w:r>
        <w:rPr>
          <w:rFonts w:ascii="Calibri" w:hAnsi="Calibri"/>
          <w:sz w:val="22"/>
          <w:szCs w:val="22"/>
        </w:rPr>
        <w:t>)</w:t>
      </w:r>
    </w:p>
    <w:p w:rsidR="007A4B2A" w:rsidRPr="003A3227" w:rsidRDefault="007A4B2A" w:rsidP="007A4B2A">
      <w:pPr>
        <w:jc w:val="both"/>
        <w:rPr>
          <w:rFonts w:ascii="Calibri" w:hAnsi="Calibri"/>
          <w:b/>
        </w:rPr>
      </w:pPr>
    </w:p>
    <w:p w:rsidR="007A4B2A" w:rsidRPr="0039299F" w:rsidRDefault="007A4B2A" w:rsidP="007A4B2A">
      <w:pPr>
        <w:jc w:val="both"/>
        <w:rPr>
          <w:rFonts w:ascii="Calibri" w:hAnsi="Calibri"/>
          <w:b/>
          <w:sz w:val="22"/>
          <w:szCs w:val="22"/>
        </w:rPr>
      </w:pPr>
      <w:r w:rsidRPr="0039299F">
        <w:rPr>
          <w:rFonts w:ascii="Calibri" w:hAnsi="Calibri"/>
          <w:b/>
          <w:sz w:val="22"/>
          <w:szCs w:val="22"/>
        </w:rPr>
        <w:t>Principles of Curriculum Design</w:t>
      </w:r>
    </w:p>
    <w:p w:rsidR="007A4B2A" w:rsidRPr="0039299F" w:rsidRDefault="007A4B2A" w:rsidP="007A4B2A">
      <w:pPr>
        <w:jc w:val="both"/>
        <w:rPr>
          <w:rFonts w:ascii="Calibri" w:hAnsi="Calibri"/>
          <w:sz w:val="22"/>
          <w:szCs w:val="22"/>
        </w:rPr>
      </w:pPr>
      <w:proofErr w:type="spellStart"/>
      <w:r w:rsidRPr="0039299F">
        <w:rPr>
          <w:rFonts w:ascii="Calibri" w:hAnsi="Calibri"/>
          <w:i/>
          <w:sz w:val="22"/>
          <w:szCs w:val="22"/>
        </w:rPr>
        <w:t>CfE</w:t>
      </w:r>
      <w:proofErr w:type="spellEnd"/>
      <w:r w:rsidRPr="0039299F">
        <w:rPr>
          <w:rFonts w:ascii="Calibri" w:hAnsi="Calibri"/>
          <w:sz w:val="22"/>
          <w:szCs w:val="22"/>
        </w:rPr>
        <w:t xml:space="preserve"> provides a single coherent curriculum, from ages 3-18, with continuity at transition points. In designing the curriculum, the following principles are taken into account:</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Challenge and enjoyment</w:t>
      </w:r>
    </w:p>
    <w:p w:rsidR="007A4B2A" w:rsidRPr="0039299F" w:rsidRDefault="007A4B2A" w:rsidP="007A4B2A">
      <w:pPr>
        <w:numPr>
          <w:ilvl w:val="0"/>
          <w:numId w:val="4"/>
        </w:numPr>
        <w:rPr>
          <w:rFonts w:ascii="Calibri" w:hAnsi="Calibri"/>
          <w:sz w:val="22"/>
          <w:szCs w:val="22"/>
        </w:rPr>
      </w:pPr>
      <w:r w:rsidRPr="0039299F">
        <w:rPr>
          <w:rFonts w:ascii="Calibri" w:hAnsi="Calibri"/>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99695</wp:posOffset>
                </wp:positionV>
                <wp:extent cx="2926080" cy="141605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41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4B2A" w:rsidRDefault="007A4B2A" w:rsidP="007A4B2A">
                            <w:pPr>
                              <w:jc w:val="center"/>
                            </w:pPr>
                            <w:r w:rsidRPr="00C56426">
                              <w:rPr>
                                <w:rFonts w:ascii="HelveticaNeueLT Std" w:hAnsi="HelveticaNeueLT Std" w:cs="Tahoma"/>
                                <w:b/>
                                <w:noProof/>
                                <w:color w:val="99CC00"/>
                                <w:lang w:val="en-GB" w:eastAsia="en-GB"/>
                              </w:rPr>
                              <w:drawing>
                                <wp:inline distT="0" distB="0" distL="0" distR="0">
                                  <wp:extent cx="2743200" cy="1323975"/>
                                  <wp:effectExtent l="0" t="0" r="0" b="9525"/>
                                  <wp:docPr id="1" name="Picture 1" descr="pupil_progress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_progress_re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23975"/>
                                          </a:xfrm>
                                          <a:prstGeom prst="rect">
                                            <a:avLst/>
                                          </a:prstGeom>
                                          <a:solidFill>
                                            <a:srgbClr val="99CC00"/>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pt;margin-top:7.85pt;width:230.4pt;height:1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" filled="f" stroked="f">
                <v:textbox style="mso-fit-shape-to-text:t">
                  <w:txbxContent>
                    <w:p w:rsidR="007A4B2A" w:rsidRDefault="007A4B2A" w:rsidP="007A4B2A">
                      <w:pPr>
                        <w:jc w:val="center"/>
                      </w:pPr>
                      <w:r w:rsidRPr="00C56426">
                        <w:rPr>
                          <w:rFonts w:ascii="HelveticaNeueLT Std" w:hAnsi="HelveticaNeueLT Std" w:cs="Tahoma"/>
                          <w:b/>
                          <w:noProof/>
                          <w:color w:val="99CC00"/>
                          <w:lang w:val="en-GB" w:eastAsia="en-GB"/>
                        </w:rPr>
                        <w:drawing>
                          <wp:inline distT="0" distB="0" distL="0" distR="0">
                            <wp:extent cx="2743200" cy="1323975"/>
                            <wp:effectExtent l="0" t="0" r="0" b="9525"/>
                            <wp:docPr id="1" name="Picture 1" descr="pupil_progress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_progress_re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23975"/>
                                    </a:xfrm>
                                    <a:prstGeom prst="rect">
                                      <a:avLst/>
                                    </a:prstGeom>
                                    <a:solidFill>
                                      <a:srgbClr val="99CC00"/>
                                    </a:solidFill>
                                    <a:ln>
                                      <a:noFill/>
                                    </a:ln>
                                  </pic:spPr>
                                </pic:pic>
                              </a:graphicData>
                            </a:graphic>
                          </wp:inline>
                        </w:drawing>
                      </w:r>
                    </w:p>
                  </w:txbxContent>
                </v:textbox>
              </v:shape>
            </w:pict>
          </mc:Fallback>
        </mc:AlternateContent>
      </w:r>
      <w:r w:rsidRPr="0039299F">
        <w:rPr>
          <w:rFonts w:ascii="Calibri" w:hAnsi="Calibri"/>
          <w:sz w:val="22"/>
          <w:szCs w:val="22"/>
        </w:rPr>
        <w:t>Breadth</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Progression</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Depth</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Personalisation and Choice</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Coherence</w:t>
      </w:r>
    </w:p>
    <w:p w:rsidR="007A4B2A" w:rsidRPr="0039299F" w:rsidRDefault="007A4B2A" w:rsidP="007A4B2A">
      <w:pPr>
        <w:numPr>
          <w:ilvl w:val="0"/>
          <w:numId w:val="4"/>
        </w:numPr>
        <w:rPr>
          <w:rFonts w:ascii="Calibri" w:hAnsi="Calibri"/>
          <w:sz w:val="22"/>
          <w:szCs w:val="22"/>
        </w:rPr>
      </w:pPr>
      <w:r w:rsidRPr="0039299F">
        <w:rPr>
          <w:rFonts w:ascii="Calibri" w:hAnsi="Calibri"/>
          <w:sz w:val="22"/>
          <w:szCs w:val="22"/>
        </w:rPr>
        <w:t>Relevance</w:t>
      </w:r>
    </w:p>
    <w:p w:rsidR="007A4B2A" w:rsidRDefault="007A4B2A" w:rsidP="007A4B2A"/>
    <w:p w:rsidR="007A4B2A" w:rsidRDefault="007A4B2A" w:rsidP="007A4B2A"/>
    <w:p w:rsidR="007A4B2A" w:rsidRPr="007A2288" w:rsidRDefault="007A4B2A" w:rsidP="007A4B2A"/>
    <w:p w:rsidR="007A4B2A" w:rsidRDefault="007A4B2A" w:rsidP="007A4B2A">
      <w:pPr>
        <w:rPr>
          <w:rFonts w:ascii="Calibri" w:hAnsi="Calibri"/>
          <w:sz w:val="22"/>
          <w:szCs w:val="22"/>
        </w:rPr>
      </w:pPr>
    </w:p>
    <w:p w:rsidR="007A4B2A" w:rsidRDefault="007A4B2A" w:rsidP="007A4B2A">
      <w:pPr>
        <w:rPr>
          <w:rFonts w:ascii="Calibri" w:hAnsi="Calibri"/>
          <w:sz w:val="22"/>
          <w:szCs w:val="22"/>
        </w:rPr>
      </w:pPr>
    </w:p>
    <w:p w:rsidR="007A4B2A" w:rsidRDefault="007A4B2A" w:rsidP="007A4B2A">
      <w:pPr>
        <w:rPr>
          <w:rFonts w:ascii="Calibri" w:hAnsi="Calibri"/>
          <w:sz w:val="22"/>
          <w:szCs w:val="22"/>
        </w:rPr>
      </w:pPr>
    </w:p>
    <w:p w:rsidR="007A4B2A" w:rsidRDefault="007A4B2A" w:rsidP="007A4B2A">
      <w:pPr>
        <w:rPr>
          <w:rFonts w:ascii="Calibri" w:hAnsi="Calibri"/>
          <w:sz w:val="22"/>
          <w:szCs w:val="22"/>
        </w:rPr>
      </w:pPr>
    </w:p>
    <w:p w:rsidR="007A4B2A" w:rsidRPr="0039299F" w:rsidRDefault="007A4B2A" w:rsidP="007A4B2A">
      <w:pPr>
        <w:rPr>
          <w:rFonts w:ascii="Calibri" w:hAnsi="Calibri"/>
          <w:sz w:val="22"/>
          <w:szCs w:val="22"/>
        </w:rPr>
      </w:pPr>
      <w:r w:rsidRPr="0039299F">
        <w:rPr>
          <w:rFonts w:ascii="Calibri" w:hAnsi="Calibri"/>
          <w:sz w:val="22"/>
          <w:szCs w:val="22"/>
        </w:rPr>
        <w:t xml:space="preserve">Literacy, Numeracy and Health/Wellbeing are identified as “skills for life” </w:t>
      </w:r>
    </w:p>
    <w:p w:rsidR="007A4B2A" w:rsidRPr="0039299F" w:rsidRDefault="007A4B2A" w:rsidP="007A4B2A">
      <w:pPr>
        <w:rPr>
          <w:rFonts w:ascii="Calibri" w:hAnsi="Calibri"/>
          <w:sz w:val="22"/>
          <w:szCs w:val="22"/>
        </w:rPr>
      </w:pPr>
      <w:r w:rsidRPr="0039299F">
        <w:rPr>
          <w:rFonts w:ascii="Calibri" w:hAnsi="Calibri"/>
          <w:sz w:val="22"/>
          <w:szCs w:val="22"/>
        </w:rPr>
        <w:t xml:space="preserve">and are the responsibility of all staff. Key themes run through all areas of the curriculum: </w:t>
      </w:r>
    </w:p>
    <w:p w:rsidR="007A4B2A" w:rsidRPr="0039299F" w:rsidRDefault="007A4B2A" w:rsidP="007A4B2A">
      <w:pPr>
        <w:numPr>
          <w:ilvl w:val="0"/>
          <w:numId w:val="5"/>
        </w:numPr>
        <w:rPr>
          <w:rFonts w:ascii="Calibri" w:hAnsi="Calibri"/>
          <w:sz w:val="22"/>
          <w:szCs w:val="22"/>
        </w:rPr>
      </w:pPr>
      <w:r w:rsidRPr="0039299F">
        <w:rPr>
          <w:rFonts w:ascii="Calibri" w:hAnsi="Calibri"/>
          <w:sz w:val="22"/>
          <w:szCs w:val="22"/>
        </w:rPr>
        <w:t>Citizenship</w:t>
      </w:r>
    </w:p>
    <w:p w:rsidR="007A4B2A" w:rsidRPr="0039299F" w:rsidRDefault="007A4B2A" w:rsidP="007A4B2A">
      <w:pPr>
        <w:numPr>
          <w:ilvl w:val="0"/>
          <w:numId w:val="5"/>
        </w:numPr>
        <w:rPr>
          <w:rFonts w:ascii="Calibri" w:hAnsi="Calibri"/>
          <w:sz w:val="22"/>
          <w:szCs w:val="22"/>
        </w:rPr>
      </w:pPr>
      <w:r w:rsidRPr="0039299F">
        <w:rPr>
          <w:rFonts w:ascii="Calibri" w:hAnsi="Calibri"/>
          <w:sz w:val="22"/>
          <w:szCs w:val="22"/>
        </w:rPr>
        <w:t>Enterprise</w:t>
      </w:r>
    </w:p>
    <w:p w:rsidR="007A4B2A" w:rsidRPr="0039299F" w:rsidRDefault="007A4B2A" w:rsidP="007A4B2A">
      <w:pPr>
        <w:numPr>
          <w:ilvl w:val="0"/>
          <w:numId w:val="5"/>
        </w:numPr>
        <w:rPr>
          <w:rFonts w:ascii="Calibri" w:hAnsi="Calibri"/>
          <w:sz w:val="22"/>
          <w:szCs w:val="22"/>
        </w:rPr>
      </w:pPr>
      <w:r w:rsidRPr="0039299F">
        <w:rPr>
          <w:rFonts w:ascii="Calibri" w:hAnsi="Calibri"/>
          <w:sz w:val="22"/>
          <w:szCs w:val="22"/>
        </w:rPr>
        <w:t>Creativity</w:t>
      </w:r>
    </w:p>
    <w:p w:rsidR="007A4B2A" w:rsidRPr="0039299F" w:rsidRDefault="007A4B2A" w:rsidP="007A4B2A">
      <w:pPr>
        <w:numPr>
          <w:ilvl w:val="0"/>
          <w:numId w:val="5"/>
        </w:numPr>
        <w:rPr>
          <w:rFonts w:ascii="Calibri" w:hAnsi="Calibri"/>
          <w:sz w:val="22"/>
          <w:szCs w:val="22"/>
        </w:rPr>
      </w:pPr>
      <w:r w:rsidRPr="0039299F">
        <w:rPr>
          <w:rFonts w:ascii="Calibri" w:hAnsi="Calibri"/>
          <w:sz w:val="22"/>
          <w:szCs w:val="22"/>
        </w:rPr>
        <w:t>Sustainable development</w:t>
      </w:r>
    </w:p>
    <w:p w:rsidR="007A4B2A" w:rsidRDefault="007A4B2A" w:rsidP="007A4B2A">
      <w:pPr>
        <w:rPr>
          <w:rFonts w:ascii="Calibri" w:hAnsi="Calibri"/>
          <w:b/>
          <w:sz w:val="16"/>
          <w:szCs w:val="16"/>
        </w:rPr>
      </w:pPr>
    </w:p>
    <w:p w:rsidR="007A4B2A" w:rsidRPr="003A3227" w:rsidRDefault="007A4B2A" w:rsidP="007A4B2A">
      <w:pPr>
        <w:rPr>
          <w:rFonts w:ascii="Calibri" w:hAnsi="Calibri"/>
          <w:b/>
          <w:sz w:val="16"/>
          <w:szCs w:val="16"/>
        </w:rPr>
      </w:pPr>
    </w:p>
    <w:p w:rsidR="007A4B2A" w:rsidRDefault="007A4B2A" w:rsidP="007A4B2A">
      <w:pPr>
        <w:rPr>
          <w:rFonts w:ascii="Calibri" w:hAnsi="Calibri"/>
          <w:b/>
        </w:rPr>
      </w:pPr>
    </w:p>
    <w:p w:rsidR="007A4B2A" w:rsidRDefault="007A4B2A" w:rsidP="007A4B2A">
      <w:pPr>
        <w:rPr>
          <w:rFonts w:ascii="Calibri" w:hAnsi="Calibri"/>
          <w:b/>
          <w:sz w:val="22"/>
          <w:szCs w:val="22"/>
        </w:rPr>
      </w:pPr>
    </w:p>
    <w:p w:rsidR="007A4B2A" w:rsidRPr="00B5753F" w:rsidRDefault="007A4B2A" w:rsidP="007A4B2A">
      <w:pPr>
        <w:rPr>
          <w:rFonts w:ascii="Calibri" w:hAnsi="Calibri"/>
          <w:b/>
          <w:sz w:val="22"/>
          <w:szCs w:val="22"/>
        </w:rPr>
      </w:pPr>
      <w:r w:rsidRPr="00B5753F">
        <w:rPr>
          <w:rFonts w:ascii="Calibri" w:hAnsi="Calibri"/>
          <w:b/>
          <w:sz w:val="22"/>
          <w:szCs w:val="22"/>
        </w:rPr>
        <w:t xml:space="preserve">Progression and Levels of Attainment in </w:t>
      </w:r>
      <w:proofErr w:type="spellStart"/>
      <w:r w:rsidRPr="00B5753F">
        <w:rPr>
          <w:rFonts w:ascii="Calibri" w:hAnsi="Calibri"/>
          <w:b/>
          <w:sz w:val="22"/>
          <w:szCs w:val="22"/>
        </w:rPr>
        <w:t>CfE</w:t>
      </w:r>
      <w:proofErr w:type="spellEnd"/>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80"/>
      </w:tblGrid>
      <w:tr w:rsidR="007A4B2A" w:rsidRPr="003A3227" w:rsidTr="00D646F6">
        <w:tc>
          <w:tcPr>
            <w:tcW w:w="2268" w:type="dxa"/>
          </w:tcPr>
          <w:p w:rsidR="007A4B2A" w:rsidRPr="0039299F" w:rsidRDefault="007A4B2A" w:rsidP="00D646F6">
            <w:pPr>
              <w:rPr>
                <w:rFonts w:ascii="Calibri" w:hAnsi="Calibri"/>
                <w:b/>
                <w:sz w:val="20"/>
                <w:szCs w:val="20"/>
              </w:rPr>
            </w:pPr>
            <w:r w:rsidRPr="0039299F">
              <w:rPr>
                <w:rFonts w:ascii="Calibri" w:hAnsi="Calibri"/>
                <w:b/>
                <w:sz w:val="20"/>
                <w:szCs w:val="20"/>
              </w:rPr>
              <w:t>Level</w:t>
            </w:r>
          </w:p>
        </w:tc>
        <w:tc>
          <w:tcPr>
            <w:tcW w:w="6480" w:type="dxa"/>
          </w:tcPr>
          <w:p w:rsidR="007A4B2A" w:rsidRPr="0039299F" w:rsidRDefault="007A4B2A" w:rsidP="00D646F6">
            <w:pPr>
              <w:rPr>
                <w:rFonts w:ascii="Calibri" w:hAnsi="Calibri"/>
                <w:b/>
                <w:sz w:val="20"/>
                <w:szCs w:val="20"/>
              </w:rPr>
            </w:pPr>
            <w:r w:rsidRPr="0039299F">
              <w:rPr>
                <w:rFonts w:ascii="Calibri" w:hAnsi="Calibri"/>
                <w:b/>
                <w:sz w:val="20"/>
                <w:szCs w:val="20"/>
              </w:rPr>
              <w:t>Experiences and outcomes for most children or young people</w:t>
            </w:r>
          </w:p>
        </w:tc>
      </w:tr>
      <w:tr w:rsidR="007A4B2A" w:rsidRPr="003A3227" w:rsidTr="00D646F6">
        <w:tc>
          <w:tcPr>
            <w:tcW w:w="2268" w:type="dxa"/>
          </w:tcPr>
          <w:p w:rsidR="007A4B2A" w:rsidRPr="0039299F" w:rsidRDefault="007A4B2A" w:rsidP="00D646F6">
            <w:pPr>
              <w:rPr>
                <w:rFonts w:ascii="Calibri" w:hAnsi="Calibri"/>
                <w:sz w:val="20"/>
                <w:szCs w:val="20"/>
              </w:rPr>
            </w:pPr>
            <w:r w:rsidRPr="0039299F">
              <w:rPr>
                <w:rFonts w:ascii="Calibri" w:hAnsi="Calibri"/>
                <w:sz w:val="20"/>
                <w:szCs w:val="20"/>
              </w:rPr>
              <w:t>Early</w:t>
            </w:r>
          </w:p>
        </w:tc>
        <w:tc>
          <w:tcPr>
            <w:tcW w:w="6480" w:type="dxa"/>
          </w:tcPr>
          <w:p w:rsidR="007A4B2A" w:rsidRPr="0039299F" w:rsidRDefault="007A4B2A" w:rsidP="00D646F6">
            <w:pPr>
              <w:rPr>
                <w:rFonts w:ascii="Calibri" w:hAnsi="Calibri"/>
                <w:sz w:val="20"/>
                <w:szCs w:val="20"/>
              </w:rPr>
            </w:pPr>
            <w:r w:rsidRPr="0039299F">
              <w:rPr>
                <w:rFonts w:ascii="Calibri" w:hAnsi="Calibri"/>
                <w:sz w:val="20"/>
                <w:szCs w:val="20"/>
              </w:rPr>
              <w:t>In pre-school and in Primary 1</w:t>
            </w:r>
          </w:p>
        </w:tc>
      </w:tr>
      <w:tr w:rsidR="007A4B2A" w:rsidRPr="003A3227" w:rsidTr="00D646F6">
        <w:tc>
          <w:tcPr>
            <w:tcW w:w="2268" w:type="dxa"/>
          </w:tcPr>
          <w:p w:rsidR="007A4B2A" w:rsidRPr="0039299F" w:rsidRDefault="007A4B2A" w:rsidP="00D646F6">
            <w:pPr>
              <w:rPr>
                <w:rFonts w:ascii="Calibri" w:hAnsi="Calibri"/>
                <w:sz w:val="20"/>
                <w:szCs w:val="20"/>
              </w:rPr>
            </w:pPr>
            <w:r w:rsidRPr="0039299F">
              <w:rPr>
                <w:rFonts w:ascii="Calibri" w:hAnsi="Calibri"/>
                <w:sz w:val="20"/>
                <w:szCs w:val="20"/>
              </w:rPr>
              <w:t>First</w:t>
            </w:r>
          </w:p>
        </w:tc>
        <w:tc>
          <w:tcPr>
            <w:tcW w:w="6480" w:type="dxa"/>
          </w:tcPr>
          <w:p w:rsidR="007A4B2A" w:rsidRPr="0039299F" w:rsidRDefault="007A4B2A" w:rsidP="00D646F6">
            <w:pPr>
              <w:rPr>
                <w:rFonts w:ascii="Calibri" w:hAnsi="Calibri"/>
                <w:sz w:val="20"/>
                <w:szCs w:val="20"/>
              </w:rPr>
            </w:pPr>
            <w:r w:rsidRPr="0039299F">
              <w:rPr>
                <w:rFonts w:ascii="Calibri" w:hAnsi="Calibri"/>
                <w:color w:val="414141"/>
                <w:sz w:val="20"/>
                <w:szCs w:val="20"/>
              </w:rPr>
              <w:t>By the end of P4, but earlier for some</w:t>
            </w:r>
          </w:p>
        </w:tc>
      </w:tr>
      <w:tr w:rsidR="007A4B2A" w:rsidRPr="003A3227" w:rsidTr="00D646F6">
        <w:tc>
          <w:tcPr>
            <w:tcW w:w="2268" w:type="dxa"/>
          </w:tcPr>
          <w:p w:rsidR="007A4B2A" w:rsidRPr="0039299F" w:rsidRDefault="007A4B2A" w:rsidP="00D646F6">
            <w:pPr>
              <w:rPr>
                <w:rFonts w:ascii="Calibri" w:hAnsi="Calibri"/>
                <w:sz w:val="20"/>
                <w:szCs w:val="20"/>
              </w:rPr>
            </w:pPr>
            <w:r w:rsidRPr="0039299F">
              <w:rPr>
                <w:rFonts w:ascii="Calibri" w:hAnsi="Calibri"/>
                <w:sz w:val="20"/>
                <w:szCs w:val="20"/>
              </w:rPr>
              <w:t>Second</w:t>
            </w:r>
          </w:p>
        </w:tc>
        <w:tc>
          <w:tcPr>
            <w:tcW w:w="6480" w:type="dxa"/>
          </w:tcPr>
          <w:p w:rsidR="007A4B2A" w:rsidRPr="0039299F" w:rsidRDefault="007A4B2A" w:rsidP="00D646F6">
            <w:pPr>
              <w:rPr>
                <w:rFonts w:ascii="Calibri" w:hAnsi="Calibri"/>
                <w:sz w:val="20"/>
                <w:szCs w:val="20"/>
              </w:rPr>
            </w:pPr>
            <w:r w:rsidRPr="0039299F">
              <w:rPr>
                <w:rFonts w:ascii="Calibri" w:hAnsi="Calibri"/>
                <w:color w:val="414141"/>
                <w:sz w:val="20"/>
                <w:szCs w:val="20"/>
              </w:rPr>
              <w:t>By the end of P7, but earlier for some</w:t>
            </w:r>
          </w:p>
        </w:tc>
      </w:tr>
      <w:tr w:rsidR="007A4B2A" w:rsidRPr="003A3227" w:rsidTr="00D646F6">
        <w:tc>
          <w:tcPr>
            <w:tcW w:w="2268" w:type="dxa"/>
          </w:tcPr>
          <w:p w:rsidR="007A4B2A" w:rsidRPr="0039299F" w:rsidRDefault="007A4B2A" w:rsidP="00D646F6">
            <w:pPr>
              <w:rPr>
                <w:rFonts w:ascii="Calibri" w:hAnsi="Calibri"/>
                <w:sz w:val="20"/>
                <w:szCs w:val="20"/>
              </w:rPr>
            </w:pPr>
            <w:r w:rsidRPr="0039299F">
              <w:rPr>
                <w:rFonts w:ascii="Calibri" w:hAnsi="Calibri"/>
                <w:sz w:val="20"/>
                <w:szCs w:val="20"/>
              </w:rPr>
              <w:t>Third/Fourth</w:t>
            </w:r>
          </w:p>
        </w:tc>
        <w:tc>
          <w:tcPr>
            <w:tcW w:w="6480" w:type="dxa"/>
          </w:tcPr>
          <w:p w:rsidR="007A4B2A" w:rsidRPr="0039299F" w:rsidRDefault="007A4B2A" w:rsidP="00D646F6">
            <w:pPr>
              <w:rPr>
                <w:rFonts w:ascii="Calibri" w:hAnsi="Calibri"/>
                <w:sz w:val="20"/>
                <w:szCs w:val="20"/>
              </w:rPr>
            </w:pPr>
            <w:r w:rsidRPr="0039299F">
              <w:rPr>
                <w:rFonts w:ascii="Calibri" w:hAnsi="Calibri"/>
                <w:sz w:val="20"/>
                <w:szCs w:val="20"/>
              </w:rPr>
              <w:t>In S1 to S3, but earlier for some. The fourth level broadly equates to Standard Grade General level/Intermediate 1</w:t>
            </w:r>
          </w:p>
        </w:tc>
      </w:tr>
      <w:tr w:rsidR="007A4B2A" w:rsidRPr="003A3227" w:rsidTr="00D646F6">
        <w:tc>
          <w:tcPr>
            <w:tcW w:w="2268" w:type="dxa"/>
          </w:tcPr>
          <w:p w:rsidR="007A4B2A" w:rsidRPr="0039299F" w:rsidRDefault="007A4B2A" w:rsidP="00D646F6">
            <w:pPr>
              <w:rPr>
                <w:rFonts w:ascii="Calibri" w:hAnsi="Calibri"/>
                <w:sz w:val="20"/>
                <w:szCs w:val="20"/>
              </w:rPr>
            </w:pPr>
            <w:r w:rsidRPr="0039299F">
              <w:rPr>
                <w:rFonts w:ascii="Calibri" w:hAnsi="Calibri"/>
                <w:sz w:val="20"/>
                <w:szCs w:val="20"/>
              </w:rPr>
              <w:t>Senior</w:t>
            </w:r>
          </w:p>
        </w:tc>
        <w:tc>
          <w:tcPr>
            <w:tcW w:w="6480" w:type="dxa"/>
          </w:tcPr>
          <w:p w:rsidR="007A4B2A" w:rsidRPr="0039299F" w:rsidRDefault="007A4B2A" w:rsidP="00D646F6">
            <w:pPr>
              <w:rPr>
                <w:rFonts w:ascii="Calibri" w:hAnsi="Calibri"/>
                <w:sz w:val="20"/>
                <w:szCs w:val="20"/>
              </w:rPr>
            </w:pPr>
            <w:r w:rsidRPr="0039299F">
              <w:rPr>
                <w:rFonts w:ascii="Calibri" w:hAnsi="Calibri"/>
                <w:sz w:val="20"/>
                <w:szCs w:val="20"/>
              </w:rPr>
              <w:t>In S4-S6, but earlier for some</w:t>
            </w:r>
          </w:p>
        </w:tc>
      </w:tr>
    </w:tbl>
    <w:p w:rsidR="007A4B2A" w:rsidRPr="0077457B" w:rsidRDefault="007A4B2A" w:rsidP="007A4B2A">
      <w:pPr>
        <w:rPr>
          <w:rFonts w:ascii="Calibri" w:hAnsi="Calibri"/>
          <w:sz w:val="18"/>
          <w:szCs w:val="18"/>
        </w:rPr>
      </w:pPr>
      <w:r w:rsidRPr="0077457B">
        <w:rPr>
          <w:rFonts w:ascii="Calibri" w:hAnsi="Calibri"/>
          <w:sz w:val="18"/>
          <w:szCs w:val="18"/>
        </w:rPr>
        <w:t>These levels provide scope for challenge for pupils and depth of study. Pupils can progress through them at a pace that suits their progress.</w:t>
      </w:r>
    </w:p>
    <w:p w:rsidR="000A72D1" w:rsidRDefault="000A72D1"/>
    <w:sectPr w:rsidR="000A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3E0D"/>
    <w:multiLevelType w:val="hybridMultilevel"/>
    <w:tmpl w:val="8BB87E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97A5C"/>
    <w:multiLevelType w:val="hybridMultilevel"/>
    <w:tmpl w:val="BE22D8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276FB1"/>
    <w:multiLevelType w:val="hybridMultilevel"/>
    <w:tmpl w:val="4896174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BF541E"/>
    <w:multiLevelType w:val="hybridMultilevel"/>
    <w:tmpl w:val="A6A0CC1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0E036D"/>
    <w:multiLevelType w:val="hybridMultilevel"/>
    <w:tmpl w:val="347E0C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2A"/>
    <w:rsid w:val="000A72D1"/>
    <w:rsid w:val="007A4B2A"/>
    <w:rsid w:val="00FE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B0C0"/>
  <w15:chartTrackingRefBased/>
  <w15:docId w15:val="{EFABE318-99F9-49F3-9A8B-D0521CCB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ICTU</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ammacdonald1w</dc:creator>
  <cp:keywords/>
  <dc:description/>
  <cp:lastModifiedBy>ammacdonald1w</cp:lastModifiedBy>
  <cp:revision>1</cp:revision>
  <dcterms:created xsi:type="dcterms:W3CDTF">2024-05-10T08:47:00Z</dcterms:created>
  <dcterms:modified xsi:type="dcterms:W3CDTF">2024-05-10T08:51:00Z</dcterms:modified>
</cp:coreProperties>
</file>