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C" w:rsidRDefault="00365A54"/>
    <w:p w:rsidR="00E41A34" w:rsidRDefault="00E41A34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</w:p>
    <w:p w:rsidR="00E41A34" w:rsidRDefault="005B2028" w:rsidP="00E41A34">
      <w:pPr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1678305</wp:posOffset>
                </wp:positionV>
                <wp:extent cx="6734175" cy="6238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Module 1 Session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Notes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Activity Notes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and Reflections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F5302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Why do you think visuals would be a useful support in your setting?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Complete an audit of your environment symbols – how many areas, activities, resources and routines are symbolised?</w:t>
                            </w:r>
                          </w:p>
                          <w:p w:rsidR="002F5302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Pick an area that is currently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unsymbolised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and create some symbols using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boardmaker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or photographs </w:t>
                            </w: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32.15pt;width:530.25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Module 1 Session </w:t>
                      </w:r>
                      <w:r>
                        <w:rPr>
                          <w:b/>
                          <w:color w:val="002060"/>
                        </w:rPr>
                        <w:t>Notes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Activity Notes</w:t>
                      </w:r>
                      <w:r>
                        <w:rPr>
                          <w:b/>
                          <w:color w:val="002060"/>
                        </w:rPr>
                        <w:t xml:space="preserve"> and Reflections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2F5302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Why do you think visuals would be a useful support in your setting?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Complete an audit of your environment symbols – how many areas, activities, resources and routines are symbolised?</w:t>
                      </w:r>
                    </w:p>
                    <w:p w:rsidR="002F5302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Pick an area that is currently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unsymbolised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and create some symbols using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boardmaker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or photographs </w:t>
                      </w: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028">
        <w:rPr>
          <w:b/>
          <w:color w:val="002060"/>
        </w:rPr>
        <w:drawing>
          <wp:inline distT="0" distB="0" distL="0" distR="0" wp14:anchorId="2FC6489F" wp14:editId="64DCBDEC">
            <wp:extent cx="2947035" cy="914400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93" cy="9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347345</wp:posOffset>
                </wp:positionV>
                <wp:extent cx="6743700" cy="1228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3641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East Renfrewshire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 xml:space="preserve"> Educational Psychology Service</w:t>
                            </w:r>
                          </w:p>
                          <w:p w:rsidR="00E41A34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34"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Supporting Children with Additional Support Needs in the Early Years</w:t>
                            </w:r>
                          </w:p>
                          <w:p w:rsidR="005B2028" w:rsidRPr="00E41A34" w:rsidRDefault="005B2028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34" w:rsidRPr="005B2028" w:rsidRDefault="00E41A34" w:rsidP="00E41A34">
                            <w:pPr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Module 1 – Universal approaches to promoting learning and wellbeing in the early years</w:t>
                            </w:r>
                          </w:p>
                          <w:p w:rsidR="005B2028" w:rsidRPr="005B2028" w:rsidRDefault="005B2028" w:rsidP="00E41A34">
                            <w:pP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B2028">
                              <w:rPr>
                                <w:rFonts w:cstheme="minorHAnsi"/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  <w:t>Theme 1 – The Physical Environment</w:t>
                            </w:r>
                          </w:p>
                          <w:p w:rsidR="00E41A34" w:rsidRDefault="00E4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27.35pt;width:531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" strokecolor="#c45911 [2405]" strokeweight="2.25pt">
                <v:textbox>
                  <w:txbxContent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2A3641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East Renfrewshire</w:t>
                      </w:r>
                      <w: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 xml:space="preserve"> Educational Psychology Service</w:t>
                      </w:r>
                    </w:p>
                    <w:p w:rsidR="00E41A34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E41A34"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Supporting Children with Additional Support Needs in the Early Years</w:t>
                      </w:r>
                    </w:p>
                    <w:p w:rsidR="005B2028" w:rsidRPr="00E41A34" w:rsidRDefault="005B2028" w:rsidP="00E41A34">
                      <w:pPr>
                        <w:rPr>
                          <w:rFonts w:cstheme="minorHAnsi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34" w:rsidRPr="005B2028" w:rsidRDefault="00E41A34" w:rsidP="00E41A34">
                      <w:pPr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Module 1 – Universal approaches to promoting learning and wellbeing in the early years</w:t>
                      </w:r>
                    </w:p>
                    <w:p w:rsidR="005B2028" w:rsidRPr="005B2028" w:rsidRDefault="005B2028" w:rsidP="00E41A34">
                      <w:pPr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B2028">
                        <w:rPr>
                          <w:rFonts w:cstheme="minorHAnsi"/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  <w:t>Theme 1 – The Physical Environment</w:t>
                      </w:r>
                    </w:p>
                    <w:p w:rsidR="00E41A34" w:rsidRDefault="00E41A3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</w:p>
    <w:bookmarkEnd w:id="0"/>
    <w:p w:rsidR="00E41A34" w:rsidRDefault="00E41A34"/>
    <w:p w:rsidR="00E41A34" w:rsidRDefault="00E41A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F56D9" wp14:editId="0FE37077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629400" cy="72866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>Complete an audit of your environment symbols – how many areas, activities, resources and routines are symbolised?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B2028" w:rsidRDefault="005B2028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B2028" w:rsidRDefault="005B2028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B2028" w:rsidRPr="00E41A34" w:rsidRDefault="005B2028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Pick an area that is currently </w:t>
                            </w:r>
                            <w:proofErr w:type="spellStart"/>
                            <w:r w:rsidRPr="00E41A34">
                              <w:rPr>
                                <w:b/>
                                <w:color w:val="002060"/>
                              </w:rPr>
                              <w:t>unsymbolised</w:t>
                            </w:r>
                            <w:proofErr w:type="spellEnd"/>
                            <w:r w:rsidRPr="00E41A34">
                              <w:rPr>
                                <w:b/>
                                <w:color w:val="002060"/>
                              </w:rPr>
                              <w:t xml:space="preserve"> and create some symbols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boardmaker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</w:rPr>
                              <w:t xml:space="preserve"> or photographs.</w:t>
                            </w:r>
                            <w:r w:rsidR="005B2028">
                              <w:rPr>
                                <w:b/>
                                <w:color w:val="002060"/>
                              </w:rPr>
                              <w:t xml:space="preserve"> Briefly describe the area you chose and why and reflect on the experience of symbolising. How will you encourage children and staff to make use of the symbols?</w:t>
                            </w: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41A34" w:rsidRPr="00E41A34" w:rsidRDefault="00E41A34" w:rsidP="00E41A34">
                            <w:pPr>
                              <w:jc w:val="left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56D9" id="_x0000_s1028" type="#_x0000_t202" style="position:absolute;left:0;text-align:left;margin-left:-27pt;margin-top:12.95pt;width:522pt;height:5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" strokecolor="#c45911 [2405]" strokeweight="2.25pt">
                <v:textbox>
                  <w:txbxContent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>Complete an audit of your environment symbols – how many areas, activities, resources and routines are symbolised?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5B2028" w:rsidRDefault="005B2028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5B2028" w:rsidRDefault="005B2028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5B2028" w:rsidRPr="00E41A34" w:rsidRDefault="005B2028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  <w:r w:rsidRPr="00E41A34">
                        <w:rPr>
                          <w:b/>
                          <w:color w:val="002060"/>
                        </w:rPr>
                        <w:t xml:space="preserve">Pick an area that is currently </w:t>
                      </w:r>
                      <w:proofErr w:type="spellStart"/>
                      <w:r w:rsidRPr="00E41A34">
                        <w:rPr>
                          <w:b/>
                          <w:color w:val="002060"/>
                        </w:rPr>
                        <w:t>unsymbolised</w:t>
                      </w:r>
                      <w:proofErr w:type="spellEnd"/>
                      <w:r w:rsidRPr="00E41A34">
                        <w:rPr>
                          <w:b/>
                          <w:color w:val="002060"/>
                        </w:rPr>
                        <w:t xml:space="preserve"> and create some symbols </w:t>
                      </w:r>
                      <w:r>
                        <w:rPr>
                          <w:b/>
                          <w:color w:val="002060"/>
                        </w:rPr>
                        <w:t xml:space="preserve">using </w:t>
                      </w:r>
                      <w:proofErr w:type="spellStart"/>
                      <w:r>
                        <w:rPr>
                          <w:b/>
                          <w:color w:val="002060"/>
                        </w:rPr>
                        <w:t>boardmaker</w:t>
                      </w:r>
                      <w:proofErr w:type="spellEnd"/>
                      <w:r>
                        <w:rPr>
                          <w:b/>
                          <w:color w:val="002060"/>
                        </w:rPr>
                        <w:t xml:space="preserve"> or photographs.</w:t>
                      </w:r>
                      <w:r w:rsidR="005B2028">
                        <w:rPr>
                          <w:b/>
                          <w:color w:val="002060"/>
                        </w:rPr>
                        <w:t xml:space="preserve"> Briefly describe the area you chose and why and reflect on the experience of symbolising. How will you encourage children and staff to make use of the symbols?</w:t>
                      </w: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  <w:p w:rsidR="00E41A34" w:rsidRPr="00E41A34" w:rsidRDefault="00E41A34" w:rsidP="00E41A34">
                      <w:pPr>
                        <w:jc w:val="left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2028">
        <w:rPr>
          <w:noProof/>
          <w:lang w:eastAsia="en-GB"/>
        </w:rPr>
        <w:drawing>
          <wp:inline distT="0" distB="0" distL="0" distR="0" wp14:anchorId="0C146237">
            <wp:extent cx="2944495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61F"/>
    <w:multiLevelType w:val="hybridMultilevel"/>
    <w:tmpl w:val="16D67592"/>
    <w:lvl w:ilvl="0" w:tplc="C9DA5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223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942F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0C3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72D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4C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04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AA4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D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1C05A7"/>
    <w:rsid w:val="001C17AC"/>
    <w:rsid w:val="002F5302"/>
    <w:rsid w:val="00365A54"/>
    <w:rsid w:val="003979A2"/>
    <w:rsid w:val="005A0868"/>
    <w:rsid w:val="005B2028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DD6E27"/>
  <w15:chartTrackingRefBased/>
  <w15:docId w15:val="{CD13AC60-159F-40FA-ACC3-90AF7CA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7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Ainsley2</dc:creator>
  <cp:keywords/>
  <dc:description/>
  <cp:lastModifiedBy>McGoldrick, Ainsley2</cp:lastModifiedBy>
  <cp:revision>3</cp:revision>
  <dcterms:created xsi:type="dcterms:W3CDTF">2021-07-08T10:37:00Z</dcterms:created>
  <dcterms:modified xsi:type="dcterms:W3CDTF">2021-08-18T11:24:00Z</dcterms:modified>
</cp:coreProperties>
</file>