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3B7152">
      <w:pPr>
        <w:rPr>
          <w:rFonts w:ascii="OpenDyslexicAlta" w:hAnsi="OpenDyslexicAlta"/>
          <w:sz w:val="28"/>
          <w:u w:val="single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5982887</wp:posOffset>
            </wp:positionH>
            <wp:positionV relativeFrom="paragraph">
              <wp:posOffset>5605419</wp:posOffset>
            </wp:positionV>
            <wp:extent cx="1102054" cy="914400"/>
            <wp:effectExtent l="0" t="0" r="3175" b="0"/>
            <wp:wrapNone/>
            <wp:docPr id="3" name="Picture 3" descr="Image result for math clipart transparent backgroun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 clipart transparent backgroun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5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205"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AA38AA">
        <w:rPr>
          <w:rFonts w:ascii="OpenDyslexicAlta" w:hAnsi="OpenDyslexicAlta"/>
          <w:sz w:val="28"/>
          <w:u w:val="single"/>
        </w:rPr>
        <w:t>Thursday 11</w:t>
      </w:r>
      <w:r w:rsidRPr="003B7152">
        <w:rPr>
          <w:rFonts w:ascii="OpenDyslexicAlta" w:hAnsi="OpenDyslexicAlta"/>
          <w:sz w:val="28"/>
          <w:u w:val="single"/>
          <w:vertAlign w:val="superscript"/>
        </w:rPr>
        <w:t>th</w:t>
      </w:r>
      <w:r>
        <w:rPr>
          <w:rFonts w:ascii="OpenDyslexicAlta" w:hAnsi="OpenDyslexicAlta"/>
          <w:sz w:val="28"/>
          <w:u w:val="single"/>
        </w:rPr>
        <w:t xml:space="preserve"> </w:t>
      </w:r>
      <w:r w:rsidR="008A6BCA">
        <w:rPr>
          <w:rFonts w:ascii="OpenDyslexicAlta" w:hAnsi="OpenDyslexicAlta"/>
          <w:sz w:val="28"/>
          <w:u w:val="single"/>
        </w:rPr>
        <w:t>J</w:t>
      </w:r>
      <w:r w:rsidR="00394263">
        <w:rPr>
          <w:rFonts w:ascii="OpenDyslexicAlta" w:hAnsi="OpenDyslexicAlta"/>
          <w:sz w:val="28"/>
          <w:u w:val="single"/>
        </w:rPr>
        <w:t>une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714B82" w:rsidRDefault="003B7152" w:rsidP="0019008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Spend time catching up on any work you haven’t completed yet </w:t>
            </w:r>
            <w:r w:rsidR="00567597">
              <w:rPr>
                <w:rFonts w:ascii="OpenDyslexicAlta" w:hAnsi="OpenDyslexicAlta"/>
                <w:szCs w:val="24"/>
              </w:rPr>
              <w:t xml:space="preserve"> </w:t>
            </w:r>
          </w:p>
          <w:p w:rsidR="00D46565" w:rsidRPr="003B7152" w:rsidRDefault="00567597" w:rsidP="003B7152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Go for a </w:t>
            </w:r>
            <w:r w:rsidR="003B7152">
              <w:rPr>
                <w:rFonts w:ascii="OpenDyslexicAlta" w:hAnsi="OpenDyslexicAlta"/>
                <w:szCs w:val="24"/>
              </w:rPr>
              <w:t xml:space="preserve">walk in the park and count how many different ways you see people travelling (walking, jogging, scooting </w:t>
            </w:r>
            <w:proofErr w:type="spellStart"/>
            <w:r w:rsidR="003B7152">
              <w:rPr>
                <w:rFonts w:ascii="OpenDyslexicAlta" w:hAnsi="OpenDyslexicAlta"/>
                <w:szCs w:val="24"/>
              </w:rPr>
              <w:t>etc</w:t>
            </w:r>
            <w:proofErr w:type="spellEnd"/>
            <w:r w:rsidR="003B7152">
              <w:rPr>
                <w:rFonts w:ascii="OpenDyslexicAlta" w:hAnsi="OpenDyslexicAlta"/>
                <w:szCs w:val="24"/>
              </w:rPr>
              <w:t xml:space="preserve">) </w:t>
            </w:r>
          </w:p>
          <w:p w:rsidR="00190083" w:rsidRDefault="00567597" w:rsidP="00564FAF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Watch Newsround and read some of the related articles </w:t>
            </w:r>
          </w:p>
          <w:p w:rsidR="003B7152" w:rsidRPr="00190083" w:rsidRDefault="003B7152" w:rsidP="00564FAF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Spend some time playing your favourite game.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437A00" w:rsidP="009365E4">
            <w:pPr>
              <w:rPr>
                <w:rFonts w:ascii="OpenDyslexicAlta" w:hAnsi="OpenDyslexicAlta"/>
                <w:u w:val="single"/>
              </w:rPr>
            </w:pPr>
            <w:r>
              <w:rPr>
                <w:rFonts w:ascii="OpenDyslexicAlta" w:hAnsi="OpenDyslexicAlta"/>
                <w:u w:val="single"/>
              </w:rPr>
              <w:t xml:space="preserve">Grammar </w:t>
            </w:r>
            <w:r w:rsidR="003B7152">
              <w:rPr>
                <w:rFonts w:ascii="OpenDyslexicAlta" w:hAnsi="OpenDyslexicAlta"/>
                <w:u w:val="single"/>
              </w:rPr>
              <w:t xml:space="preserve"> 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8A6BCA" w:rsidRDefault="00437A00" w:rsidP="003B71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Lovely BBC Bitesize have got our grammar for today covered!</w:t>
            </w:r>
          </w:p>
          <w:p w:rsidR="00437A00" w:rsidRDefault="00437A00" w:rsidP="003B71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753035FC" wp14:editId="5593F277">
                  <wp:simplePos x="0" y="0"/>
                  <wp:positionH relativeFrom="column">
                    <wp:posOffset>5748655</wp:posOffset>
                  </wp:positionH>
                  <wp:positionV relativeFrom="paragraph">
                    <wp:posOffset>226060</wp:posOffset>
                  </wp:positionV>
                  <wp:extent cx="952500" cy="1006811"/>
                  <wp:effectExtent l="0" t="0" r="0" b="3175"/>
                  <wp:wrapNone/>
                  <wp:docPr id="2" name="Picture 2" descr="Image result for journal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952500" cy="100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A00" w:rsidRPr="00437A00" w:rsidRDefault="00437A00" w:rsidP="003B7152">
            <w:pPr>
              <w:rPr>
                <w:rStyle w:val="Hyperlink"/>
                <w:sz w:val="24"/>
              </w:rPr>
            </w:pPr>
            <w:hyperlink r:id="rId9" w:history="1">
              <w:r w:rsidRPr="00437A00">
                <w:rPr>
                  <w:rStyle w:val="Hyperlink"/>
                  <w:rFonts w:ascii="OpenDyslexicAlta" w:hAnsi="OpenDyslexicAlta"/>
                  <w:sz w:val="24"/>
                </w:rPr>
                <w:t>https://www.bbc.co.uk/bitesize/articles/zbvd7sg</w:t>
              </w:r>
            </w:hyperlink>
          </w:p>
          <w:p w:rsidR="00394263" w:rsidRDefault="00394263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394263" w:rsidRPr="00394263" w:rsidRDefault="00BF0BEC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Writing </w:t>
            </w:r>
            <w:r w:rsidR="00394263" w:rsidRPr="00394263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 </w:t>
            </w:r>
          </w:p>
          <w:p w:rsidR="00394263" w:rsidRDefault="00394263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394263" w:rsidRPr="009365E4" w:rsidRDefault="003B7152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Make sure you’re staying up to date with this week’s writing task. </w:t>
            </w:r>
          </w:p>
          <w:p w:rsidR="001B0331" w:rsidRPr="00BA0151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  <w:p w:rsidR="007F1805" w:rsidRPr="00C34BAE" w:rsidRDefault="00BA0151" w:rsidP="00BA0151">
            <w:pPr>
              <w:tabs>
                <w:tab w:val="left" w:pos="4410"/>
              </w:tabs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ED64CF" w:rsidRDefault="00A233B6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8A6BCA">
              <w:rPr>
                <w:rFonts w:ascii="OpenDyslexicAlta" w:hAnsi="OpenDyslexicAlta"/>
                <w:sz w:val="24"/>
              </w:rPr>
              <w:t>STEM</w:t>
            </w:r>
            <w:r w:rsidR="00DE0635">
              <w:rPr>
                <w:rFonts w:ascii="OpenDyslexicAlta" w:hAnsi="OpenDyslexicAlta"/>
                <w:sz w:val="24"/>
              </w:rPr>
              <w:t xml:space="preserve"> </w:t>
            </w:r>
            <w:r w:rsidR="00F13ADD">
              <w:rPr>
                <w:rFonts w:ascii="OpenDyslexicAlta" w:hAnsi="OpenDyslexicAlta"/>
                <w:sz w:val="24"/>
              </w:rPr>
              <w:t>Home Learning Experiences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Health and Wellbeing </w:t>
            </w:r>
          </w:p>
        </w:tc>
      </w:tr>
      <w:tr w:rsidR="00406C76" w:rsidRPr="00D96205" w:rsidTr="00A545FA">
        <w:trPr>
          <w:trHeight w:val="2613"/>
        </w:trPr>
        <w:tc>
          <w:tcPr>
            <w:tcW w:w="10456" w:type="dxa"/>
            <w:shd w:val="clear" w:color="auto" w:fill="C5E0B3" w:themeFill="accent6" w:themeFillTint="66"/>
          </w:tcPr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Enjoy our amazing Joe Wicks </w:t>
            </w:r>
            <w:r w:rsidRPr="00714B82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</w:p>
          <w:p w:rsidR="00F13ADD" w:rsidRDefault="00CC7F5C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0" w:history="1">
              <w:r w:rsidR="00F13ADD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755E4E" w:rsidRDefault="00755E4E" w:rsidP="008A6BCA">
            <w:pPr>
              <w:rPr>
                <w:rFonts w:ascii="OpenDyslexicAlta" w:hAnsi="OpenDyslexicAlta"/>
                <w:sz w:val="24"/>
              </w:rPr>
            </w:pPr>
          </w:p>
          <w:p w:rsidR="001F27F4" w:rsidRPr="00437A00" w:rsidRDefault="00437A00" w:rsidP="008A6BCA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Or why not try a Just Dance or a Cosmic K</w:t>
            </w:r>
            <w:r w:rsidRPr="00437A00">
              <w:rPr>
                <w:rFonts w:ascii="OpenDyslexicAlta" w:hAnsi="OpenDyslexicAlta"/>
                <w:sz w:val="24"/>
              </w:rPr>
              <w:t>ids yoga?</w:t>
            </w:r>
            <w:r>
              <w:rPr>
                <w:rFonts w:ascii="OpenDyslexicAlta" w:hAnsi="OpenDyslexicAlta"/>
                <w:sz w:val="24"/>
              </w:rPr>
              <w:t xml:space="preserve"> The song in this Just Dance reminds me of you all! </w:t>
            </w:r>
          </w:p>
          <w:p w:rsidR="00437A00" w:rsidRDefault="00437A00" w:rsidP="008A6BCA">
            <w:pPr>
              <w:rPr>
                <w:rFonts w:ascii="OpenDyslexicAlta" w:hAnsi="OpenDyslexicAlta"/>
                <w:sz w:val="24"/>
              </w:rPr>
            </w:pPr>
          </w:p>
          <w:p w:rsidR="00437A00" w:rsidRPr="00437A00" w:rsidRDefault="00437A00" w:rsidP="008A6BCA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1" w:history="1">
              <w:r w:rsidRPr="00437A00">
                <w:rPr>
                  <w:rStyle w:val="Hyperlink"/>
                  <w:rFonts w:ascii="OpenDyslexicAlta" w:hAnsi="OpenDyslexicAlta"/>
                  <w:sz w:val="24"/>
                </w:rPr>
                <w:t>https://www.youtube.com/watch?v=dnOL4V5_qaM</w:t>
              </w:r>
            </w:hyperlink>
          </w:p>
          <w:p w:rsidR="00437A00" w:rsidRPr="00D96205" w:rsidRDefault="00437A00" w:rsidP="008A6BCA">
            <w:pPr>
              <w:rPr>
                <w:rFonts w:ascii="OpenDyslexicAlta" w:hAnsi="OpenDyslexicAlta"/>
                <w:sz w:val="24"/>
              </w:rPr>
            </w:pPr>
            <w:hyperlink r:id="rId12" w:history="1">
              <w:r w:rsidRPr="00437A00">
                <w:rPr>
                  <w:rStyle w:val="Hyperlink"/>
                  <w:rFonts w:ascii="OpenDyslexicAlta" w:hAnsi="OpenDyslexicAlta"/>
                  <w:sz w:val="24"/>
                </w:rPr>
                <w:t>https://www.youtube.com/watch?v=tbCjkPlsaes</w:t>
              </w:r>
            </w:hyperlink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746A44" w:rsidRPr="00CC7F5C" w:rsidRDefault="00CC7F5C" w:rsidP="00C60752">
            <w:pPr>
              <w:rPr>
                <w:rFonts w:ascii="OpenDyslexicAlta" w:hAnsi="OpenDyslexicAlta"/>
                <w:sz w:val="24"/>
                <w:u w:val="single"/>
              </w:rPr>
            </w:pPr>
            <w:r w:rsidRPr="00CC7F5C">
              <w:rPr>
                <w:rFonts w:ascii="OpenDyslexicAlta" w:hAnsi="OpenDyslexicAlta"/>
                <w:sz w:val="24"/>
                <w:u w:val="single"/>
              </w:rPr>
              <w:t xml:space="preserve">IDL </w:t>
            </w:r>
          </w:p>
          <w:p w:rsidR="00CC7F5C" w:rsidRP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  <w:r w:rsidRPr="00CC7F5C">
              <w:rPr>
                <w:rFonts w:ascii="OpenDyslexicAlta" w:hAnsi="OpenDyslexicAlta"/>
                <w:sz w:val="24"/>
              </w:rPr>
              <w:t xml:space="preserve">Check our IDL Classroom for todays task about the NHS </w:t>
            </w:r>
            <w:r w:rsidRPr="00CC7F5C">
              <w:rPr>
                <w:rFonts w:ascii="OpenDyslexicAlta" w:hAnsi="OpenDyslexicAlta"/>
                <w:sz w:val="24"/>
              </w:rPr>
              <w:sym w:font="Wingdings" w:char="F04A"/>
            </w:r>
            <w:r w:rsidRPr="00CC7F5C">
              <w:rPr>
                <w:rFonts w:ascii="OpenDyslexicAlta" w:hAnsi="OpenDyslexicAlta"/>
                <w:sz w:val="24"/>
              </w:rPr>
              <w:t xml:space="preserve"> </w:t>
            </w:r>
          </w:p>
          <w:p w:rsidR="00746A44" w:rsidRDefault="00746A44" w:rsidP="00C60752">
            <w:pPr>
              <w:rPr>
                <w:rFonts w:ascii="OpenDyslexicAlta" w:hAnsi="OpenDyslexicAlta"/>
                <w:sz w:val="24"/>
              </w:rPr>
            </w:pPr>
          </w:p>
          <w:p w:rsidR="00746A44" w:rsidRPr="00CC7F5C" w:rsidRDefault="00CC7F5C" w:rsidP="00C60752">
            <w:pPr>
              <w:rPr>
                <w:rFonts w:ascii="OpenDyslexicAlta" w:hAnsi="OpenDyslexicAlta"/>
                <w:sz w:val="24"/>
                <w:u w:val="single"/>
              </w:rPr>
            </w:pPr>
            <w:r w:rsidRPr="00CC7F5C">
              <w:rPr>
                <w:rFonts w:ascii="OpenDyslexicAlta" w:hAnsi="OpenDyslexicAlta"/>
                <w:sz w:val="24"/>
                <w:u w:val="single"/>
              </w:rPr>
              <w:t xml:space="preserve">Art </w:t>
            </w: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On Tuesday many of you made an animation to summarise your book instead of doing a drama which I thought was a really great idea. The TATE have put together an amazing lesson all about animation which I thought you might want to try! You don’t need to make your model from </w:t>
            </w:r>
            <w:proofErr w:type="spellStart"/>
            <w:r>
              <w:rPr>
                <w:rFonts w:ascii="OpenDyslexicAlta" w:hAnsi="OpenDyslexicAlta"/>
                <w:sz w:val="24"/>
              </w:rPr>
              <w:t>plasticine</w:t>
            </w:r>
            <w:proofErr w:type="spellEnd"/>
            <w:r>
              <w:rPr>
                <w:rFonts w:ascii="OpenDyslexicAlta" w:hAnsi="OpenDyslexicAlta"/>
                <w:sz w:val="24"/>
              </w:rPr>
              <w:t xml:space="preserve">, you can use Lego or any other figures that you have in the house. </w:t>
            </w:r>
            <w:bookmarkStart w:id="0" w:name="_GoBack"/>
            <w:bookmarkEnd w:id="0"/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Pr="00CC7F5C" w:rsidRDefault="00CC7F5C" w:rsidP="00C60752">
            <w:pPr>
              <w:rPr>
                <w:rStyle w:val="Hyperlink"/>
              </w:rPr>
            </w:pPr>
            <w:hyperlink r:id="rId13" w:history="1">
              <w:r w:rsidRPr="00CC7F5C">
                <w:rPr>
                  <w:rStyle w:val="Hyperlink"/>
                  <w:rFonts w:ascii="OpenDyslexicAlta" w:hAnsi="OpenDyslexicAlta"/>
                  <w:sz w:val="24"/>
                </w:rPr>
                <w:t>https://www.tate.org.uk/kids/make/art-technology/be-animator</w:t>
              </w:r>
            </w:hyperlink>
          </w:p>
          <w:p w:rsidR="00746A44" w:rsidRDefault="00CC7F5C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252730</wp:posOffset>
                  </wp:positionV>
                  <wp:extent cx="3867150" cy="2971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8A6BCA" w:rsidRDefault="008A6BCA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C7F5C" w:rsidRDefault="00CC7F5C" w:rsidP="00C60752">
            <w:pPr>
              <w:rPr>
                <w:rFonts w:ascii="OpenDyslexicAlta" w:hAnsi="OpenDyslexicAlta"/>
                <w:sz w:val="24"/>
              </w:rPr>
            </w:pPr>
          </w:p>
          <w:p w:rsidR="00C63AB3" w:rsidRPr="00987678" w:rsidRDefault="00C63AB3" w:rsidP="00437A00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86721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11426C"/>
    <w:rsid w:val="00190083"/>
    <w:rsid w:val="001A5F13"/>
    <w:rsid w:val="001A7C6A"/>
    <w:rsid w:val="001B0331"/>
    <w:rsid w:val="001D08C6"/>
    <w:rsid w:val="001E1171"/>
    <w:rsid w:val="001E4912"/>
    <w:rsid w:val="001F27F4"/>
    <w:rsid w:val="0021165C"/>
    <w:rsid w:val="002B0F4C"/>
    <w:rsid w:val="0031099C"/>
    <w:rsid w:val="003346ED"/>
    <w:rsid w:val="00344638"/>
    <w:rsid w:val="003478A4"/>
    <w:rsid w:val="00364A47"/>
    <w:rsid w:val="00394263"/>
    <w:rsid w:val="003B7152"/>
    <w:rsid w:val="00406C76"/>
    <w:rsid w:val="00433BDF"/>
    <w:rsid w:val="00437A00"/>
    <w:rsid w:val="00496E77"/>
    <w:rsid w:val="004B101E"/>
    <w:rsid w:val="004C0B16"/>
    <w:rsid w:val="004E699D"/>
    <w:rsid w:val="00505C06"/>
    <w:rsid w:val="0050714E"/>
    <w:rsid w:val="00512AFD"/>
    <w:rsid w:val="00544D17"/>
    <w:rsid w:val="00556164"/>
    <w:rsid w:val="00567597"/>
    <w:rsid w:val="00591FB1"/>
    <w:rsid w:val="005A1CC5"/>
    <w:rsid w:val="005B155F"/>
    <w:rsid w:val="005C3B50"/>
    <w:rsid w:val="005D3960"/>
    <w:rsid w:val="005E4C31"/>
    <w:rsid w:val="00607506"/>
    <w:rsid w:val="006327AD"/>
    <w:rsid w:val="00675D3E"/>
    <w:rsid w:val="006D3BFC"/>
    <w:rsid w:val="00714B82"/>
    <w:rsid w:val="0073213B"/>
    <w:rsid w:val="00746A44"/>
    <w:rsid w:val="00755E4E"/>
    <w:rsid w:val="00786721"/>
    <w:rsid w:val="007929AC"/>
    <w:rsid w:val="007F1805"/>
    <w:rsid w:val="008A6BCA"/>
    <w:rsid w:val="008A7208"/>
    <w:rsid w:val="008B7AC2"/>
    <w:rsid w:val="008D742D"/>
    <w:rsid w:val="008E55F0"/>
    <w:rsid w:val="009365E4"/>
    <w:rsid w:val="00937165"/>
    <w:rsid w:val="00987678"/>
    <w:rsid w:val="0099677E"/>
    <w:rsid w:val="009A6DFA"/>
    <w:rsid w:val="00A233B6"/>
    <w:rsid w:val="00A545FA"/>
    <w:rsid w:val="00A72922"/>
    <w:rsid w:val="00AA38AA"/>
    <w:rsid w:val="00B16B0F"/>
    <w:rsid w:val="00B4669A"/>
    <w:rsid w:val="00B917FD"/>
    <w:rsid w:val="00BA0151"/>
    <w:rsid w:val="00BA7C13"/>
    <w:rsid w:val="00BF0BEC"/>
    <w:rsid w:val="00C3411A"/>
    <w:rsid w:val="00C34BAE"/>
    <w:rsid w:val="00C34BB0"/>
    <w:rsid w:val="00C60752"/>
    <w:rsid w:val="00C63AB3"/>
    <w:rsid w:val="00C74030"/>
    <w:rsid w:val="00CC7F5C"/>
    <w:rsid w:val="00CE2153"/>
    <w:rsid w:val="00D37AE2"/>
    <w:rsid w:val="00D46565"/>
    <w:rsid w:val="00D808B3"/>
    <w:rsid w:val="00D81DE8"/>
    <w:rsid w:val="00D96205"/>
    <w:rsid w:val="00DE0635"/>
    <w:rsid w:val="00DF0587"/>
    <w:rsid w:val="00E63D5C"/>
    <w:rsid w:val="00E90499"/>
    <w:rsid w:val="00ED64CF"/>
    <w:rsid w:val="00EE4F7C"/>
    <w:rsid w:val="00F13ADD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ate.org.uk/kids/make/art-technology/be-anim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2" Type="http://schemas.openxmlformats.org/officeDocument/2006/relationships/hyperlink" Target="https://www.youtube.com/watch?v=tbCjkPlsa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dnOL4V5_qaM" TargetMode="External"/><Relationship Id="rId5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oC0eUSm-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bvd7s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4</cp:revision>
  <dcterms:created xsi:type="dcterms:W3CDTF">2020-06-09T11:16:00Z</dcterms:created>
  <dcterms:modified xsi:type="dcterms:W3CDTF">2020-06-09T11:37:00Z</dcterms:modified>
</cp:coreProperties>
</file>