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B16B0F">
        <w:rPr>
          <w:rFonts w:ascii="OpenDyslexicAlta" w:hAnsi="OpenDyslexicAlta"/>
          <w:sz w:val="28"/>
          <w:u w:val="single"/>
        </w:rPr>
        <w:t>Tuesday 2</w:t>
      </w:r>
      <w:r w:rsidR="00B16B0F" w:rsidRPr="00B16B0F">
        <w:rPr>
          <w:rFonts w:ascii="OpenDyslexicAlta" w:hAnsi="OpenDyslexicAlta"/>
          <w:sz w:val="28"/>
          <w:u w:val="single"/>
          <w:vertAlign w:val="superscript"/>
        </w:rPr>
        <w:t>nd</w:t>
      </w:r>
      <w:r w:rsidR="00A545FA">
        <w:rPr>
          <w:rFonts w:ascii="OpenDyslexicAlta" w:hAnsi="OpenDyslexicAlta"/>
          <w:sz w:val="28"/>
          <w:u w:val="single"/>
        </w:rPr>
        <w:t>June</w:t>
      </w:r>
      <w:r w:rsidR="00ED64CF">
        <w:rPr>
          <w:rFonts w:ascii="OpenDyslexicAlta" w:hAnsi="OpenDyslexicAlta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C74030">
        <w:trPr>
          <w:trHeight w:val="2550"/>
        </w:trPr>
        <w:tc>
          <w:tcPr>
            <w:tcW w:w="10456" w:type="dxa"/>
            <w:shd w:val="clear" w:color="auto" w:fill="DEBDFF"/>
          </w:tcPr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A545FA" w:rsidRPr="009365E4" w:rsidRDefault="00A545FA" w:rsidP="00B16B0F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Write a list of things you would like to do in June</w:t>
            </w:r>
          </w:p>
          <w:p w:rsidR="00714B82" w:rsidRDefault="00F13ADD" w:rsidP="003478A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Help </w:t>
            </w:r>
            <w:r w:rsidR="00B16B0F">
              <w:rPr>
                <w:rFonts w:ascii="OpenDyslexicAlta" w:hAnsi="OpenDyslexicAlta"/>
                <w:szCs w:val="24"/>
              </w:rPr>
              <w:t xml:space="preserve"> a sibling with their home learning or an adult in the house with a job that needs done</w:t>
            </w:r>
          </w:p>
          <w:p w:rsidR="00B16B0F" w:rsidRDefault="00714B82" w:rsidP="00BC405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CA2BCCD" wp14:editId="3A320247">
                  <wp:simplePos x="0" y="0"/>
                  <wp:positionH relativeFrom="column">
                    <wp:posOffset>5786120</wp:posOffset>
                  </wp:positionH>
                  <wp:positionV relativeFrom="paragraph">
                    <wp:posOffset>164465</wp:posOffset>
                  </wp:positionV>
                  <wp:extent cx="976544" cy="1400175"/>
                  <wp:effectExtent l="0" t="0" r="0" b="0"/>
                  <wp:wrapNone/>
                  <wp:docPr id="13" name="Picture 13" descr="Image result for reading clipart transparent background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ing clipart transparent background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6544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B0F">
              <w:rPr>
                <w:rFonts w:ascii="OpenDyslexicAlta" w:hAnsi="OpenDyslexicAlta"/>
                <w:szCs w:val="24"/>
              </w:rPr>
              <w:t>Enjoy reading a book of your choice</w:t>
            </w:r>
          </w:p>
          <w:p w:rsidR="00D46565" w:rsidRPr="00B16B0F" w:rsidRDefault="00B16B0F" w:rsidP="00BC405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Play a game which you came up with </w:t>
            </w:r>
          </w:p>
          <w:p w:rsidR="009365E4" w:rsidRPr="007F1805" w:rsidRDefault="009365E4" w:rsidP="0021165C">
            <w:pPr>
              <w:pStyle w:val="ListParagraph"/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D96205">
            <w:pPr>
              <w:rPr>
                <w:rFonts w:ascii="OpenDyslexicAlta" w:hAnsi="OpenDyslexicAlta"/>
              </w:rPr>
            </w:pPr>
            <w:r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9365E4" w:rsidRPr="00F633E8" w:rsidRDefault="009365E4" w:rsidP="009365E4">
            <w:pPr>
              <w:rPr>
                <w:rFonts w:ascii="OpenDyslexicAlta" w:hAnsi="OpenDyslexicAlta"/>
                <w:u w:val="single"/>
              </w:rPr>
            </w:pPr>
            <w:r w:rsidRPr="00F633E8">
              <w:rPr>
                <w:rFonts w:ascii="OpenDyslexicAlta" w:hAnsi="OpenDyslexicAlta"/>
                <w:u w:val="single"/>
              </w:rPr>
              <w:t xml:space="preserve">Reading </w:t>
            </w: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ED64CF" w:rsidRDefault="00B16B0F" w:rsidP="00BA0151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If you haven’t already started your new reading pages please do so today. </w:t>
            </w:r>
          </w:p>
          <w:p w:rsidR="00092FC8" w:rsidRDefault="00092FC8" w:rsidP="00BA0151">
            <w:pPr>
              <w:rPr>
                <w:rFonts w:ascii="OpenDyslexicAlta" w:hAnsi="OpenDyslexicAlta"/>
              </w:rPr>
            </w:pPr>
          </w:p>
          <w:p w:rsidR="00092FC8" w:rsidRDefault="00092FC8" w:rsidP="00092FC8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 xml:space="preserve">Rowlings – </w:t>
            </w:r>
            <w:r w:rsidR="00A545FA">
              <w:rPr>
                <w:rFonts w:ascii="OpenDyslexicAlta" w:hAnsi="OpenDyslexicAlta"/>
                <w:sz w:val="20"/>
              </w:rPr>
              <w:t>Friend or Foe, page 48 please</w:t>
            </w:r>
            <w:r>
              <w:rPr>
                <w:rFonts w:ascii="OpenDyslexicAlta" w:hAnsi="OpenDyslexicAlta"/>
                <w:sz w:val="20"/>
              </w:rPr>
              <w:t xml:space="preserve">. </w:t>
            </w:r>
          </w:p>
          <w:p w:rsidR="00092FC8" w:rsidRDefault="00092FC8" w:rsidP="00A545FA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>Walliams</w:t>
            </w:r>
            <w:r w:rsidR="00A545FA">
              <w:rPr>
                <w:rFonts w:ascii="OpenDyslexicAlta" w:hAnsi="OpenDyslexicAlta"/>
                <w:sz w:val="20"/>
              </w:rPr>
              <w:t xml:space="preserve"> </w:t>
            </w:r>
            <w:r>
              <w:rPr>
                <w:rFonts w:ascii="OpenDyslexicAlta" w:hAnsi="OpenDyslexicAlta"/>
                <w:sz w:val="20"/>
              </w:rPr>
              <w:t xml:space="preserve">– </w:t>
            </w:r>
            <w:proofErr w:type="spellStart"/>
            <w:r w:rsidR="00A545FA">
              <w:rPr>
                <w:rFonts w:ascii="OpenDyslexicAlta" w:hAnsi="OpenDyslexicAlta"/>
                <w:sz w:val="20"/>
              </w:rPr>
              <w:t>Christophes</w:t>
            </w:r>
            <w:proofErr w:type="spellEnd"/>
            <w:r w:rsidR="00A545FA">
              <w:rPr>
                <w:rFonts w:ascii="OpenDyslexicAlta" w:hAnsi="OpenDyslexicAlta"/>
                <w:sz w:val="20"/>
              </w:rPr>
              <w:t xml:space="preserve"> Story, page 24 please.</w:t>
            </w:r>
          </w:p>
          <w:p w:rsidR="00A545FA" w:rsidRDefault="00A545FA" w:rsidP="00A545FA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 xml:space="preserve">Dahls – Ottoline and the Yellow Cat, page 41 please. </w:t>
            </w:r>
          </w:p>
          <w:p w:rsidR="00092FC8" w:rsidRDefault="00092FC8" w:rsidP="00092FC8">
            <w:pPr>
              <w:jc w:val="center"/>
              <w:rPr>
                <w:rFonts w:ascii="OpenDyslexicAlta" w:hAnsi="OpenDyslexicAlta"/>
                <w:sz w:val="20"/>
              </w:rPr>
            </w:pPr>
            <w:r>
              <w:rPr>
                <w:rFonts w:ascii="OpenDyslexicAlta" w:hAnsi="OpenDyslexicAlta"/>
                <w:sz w:val="20"/>
              </w:rPr>
              <w:t xml:space="preserve">Robins – </w:t>
            </w:r>
            <w:r w:rsidR="00A545FA">
              <w:rPr>
                <w:rFonts w:ascii="OpenDyslexicAlta" w:hAnsi="OpenDyslexicAlta"/>
                <w:sz w:val="20"/>
              </w:rPr>
              <w:t xml:space="preserve">The Owl who was afraid of the dark, page 28 please. </w:t>
            </w:r>
          </w:p>
          <w:p w:rsidR="00092FC8" w:rsidRDefault="00092FC8" w:rsidP="00092FC8">
            <w:pPr>
              <w:jc w:val="center"/>
              <w:rPr>
                <w:rFonts w:ascii="OpenDyslexicAlta" w:hAnsi="OpenDyslexicAlta"/>
                <w:sz w:val="20"/>
              </w:rPr>
            </w:pPr>
            <w:proofErr w:type="spellStart"/>
            <w:r>
              <w:rPr>
                <w:rFonts w:ascii="OpenDyslexicAlta" w:hAnsi="OpenDyslexicAlta"/>
                <w:sz w:val="20"/>
              </w:rPr>
              <w:t>Morpurgos</w:t>
            </w:r>
            <w:proofErr w:type="spellEnd"/>
            <w:r>
              <w:rPr>
                <w:rFonts w:ascii="OpenDyslexicAlta" w:hAnsi="OpenDyslexicAlta"/>
                <w:sz w:val="20"/>
              </w:rPr>
              <w:t xml:space="preserve"> – </w:t>
            </w:r>
            <w:r w:rsidR="00A545FA">
              <w:rPr>
                <w:rFonts w:ascii="OpenDyslexicAlta" w:hAnsi="OpenDyslexicAlta"/>
                <w:sz w:val="20"/>
              </w:rPr>
              <w:t>The Photograph, page 15 please.</w:t>
            </w:r>
          </w:p>
          <w:p w:rsidR="00092FC8" w:rsidRDefault="00092FC8" w:rsidP="00BA0151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D37AE2" w:rsidRDefault="00D37AE2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9365E4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4FBC3E4C" wp14:editId="03AEBD3C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105410</wp:posOffset>
                  </wp:positionV>
                  <wp:extent cx="1057275" cy="647374"/>
                  <wp:effectExtent l="0" t="0" r="0" b="0"/>
                  <wp:wrapNone/>
                  <wp:docPr id="11" name="Picture 11" descr="Image result for spelling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elling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47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65E4" w:rsidRDefault="00B16B0F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>Writing</w:t>
            </w:r>
            <w:r w:rsidR="00BA0151" w:rsidRPr="00BA0151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 </w:t>
            </w:r>
          </w:p>
          <w:p w:rsidR="009365E4" w:rsidRDefault="009365E4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  <w:p w:rsidR="00BA0151" w:rsidRPr="009365E4" w:rsidRDefault="00D37AE2" w:rsidP="00BA015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Please </w:t>
            </w:r>
            <w:r w:rsidR="00B16B0F">
              <w:rPr>
                <w:rFonts w:ascii="OpenDyslexicAlta" w:hAnsi="OpenDyslexicAlta"/>
                <w:sz w:val="24"/>
                <w:szCs w:val="24"/>
              </w:rPr>
              <w:t xml:space="preserve">find this week’s writing task on our Writing Google Classroom. </w:t>
            </w:r>
            <w:r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1B0331" w:rsidRPr="00BA0151" w:rsidRDefault="00B4669A" w:rsidP="00F37A9E">
            <w:pPr>
              <w:rPr>
                <w:rFonts w:ascii="OpenDyslexicAlta" w:hAnsi="OpenDyslexicAlta"/>
                <w:sz w:val="12"/>
              </w:rPr>
            </w:pPr>
            <w:r w:rsidRPr="00D46565">
              <w:rPr>
                <w:rFonts w:ascii="OpenDyslexicAlta" w:hAnsi="OpenDyslexicAlta"/>
              </w:rPr>
              <w:t xml:space="preserve"> </w:t>
            </w:r>
          </w:p>
          <w:p w:rsidR="007F1805" w:rsidRPr="00C34BAE" w:rsidRDefault="00BA0151" w:rsidP="00BA0151">
            <w:pPr>
              <w:tabs>
                <w:tab w:val="left" w:pos="4410"/>
              </w:tabs>
              <w:rPr>
                <w:rFonts w:ascii="OpenDyslexicAlta" w:hAnsi="OpenDyslexicAlta"/>
                <w:sz w:val="12"/>
              </w:rPr>
            </w:pPr>
            <w:r>
              <w:rPr>
                <w:rFonts w:ascii="OpenDyslexicAlta" w:hAnsi="OpenDyslexicAlta"/>
                <w:sz w:val="12"/>
              </w:rPr>
              <w:tab/>
            </w: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ED64CF" w:rsidRDefault="00F13ADD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504825</wp:posOffset>
                  </wp:positionV>
                  <wp:extent cx="1495425" cy="1240790"/>
                  <wp:effectExtent l="0" t="0" r="0" b="0"/>
                  <wp:wrapNone/>
                  <wp:docPr id="3" name="Picture 3" descr="Image result for math clipart transparent background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3B6"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 w:rsidR="00A233B6">
              <w:rPr>
                <w:rFonts w:ascii="OpenDyslexicAlta" w:hAnsi="OpenDyslexicAlta"/>
                <w:sz w:val="24"/>
              </w:rPr>
              <w:t xml:space="preserve"> </w:t>
            </w:r>
            <w:r w:rsidR="00D37AE2">
              <w:rPr>
                <w:rFonts w:ascii="OpenDyslexicAlta" w:hAnsi="OpenDyslexicAlta"/>
                <w:sz w:val="24"/>
              </w:rPr>
              <w:t xml:space="preserve">Maths </w:t>
            </w:r>
            <w:r>
              <w:rPr>
                <w:rFonts w:ascii="OpenDyslexicAlta" w:hAnsi="OpenDyslexicAlta"/>
                <w:sz w:val="24"/>
              </w:rPr>
              <w:t>Home Learning Experiences</w:t>
            </w:r>
            <w:r w:rsidR="009365E4">
              <w:rPr>
                <w:rFonts w:ascii="OpenDyslexicAlta" w:hAnsi="OpenDyslexicAlta"/>
                <w:sz w:val="24"/>
              </w:rPr>
              <w:t>.</w:t>
            </w:r>
          </w:p>
          <w:p w:rsidR="00D37AE2" w:rsidRDefault="00D37AE2" w:rsidP="00A233B6">
            <w:pPr>
              <w:rPr>
                <w:rFonts w:ascii="OpenDyslexicAlta" w:hAnsi="OpenDyslexicAlta"/>
                <w:sz w:val="24"/>
              </w:rPr>
            </w:pPr>
          </w:p>
          <w:p w:rsidR="00D37AE2" w:rsidRDefault="00D37AE2" w:rsidP="00A233B6">
            <w:pPr>
              <w:rPr>
                <w:rFonts w:ascii="OpenDyslexicAlta" w:hAnsi="OpenDyslexicAlta"/>
                <w:sz w:val="24"/>
              </w:rPr>
            </w:pPr>
          </w:p>
          <w:p w:rsidR="00B16B0F" w:rsidRDefault="00B16B0F" w:rsidP="00A233B6">
            <w:pPr>
              <w:rPr>
                <w:rFonts w:ascii="OpenDyslexicAlta" w:hAnsi="OpenDyslexicAlta"/>
                <w:sz w:val="24"/>
              </w:rPr>
            </w:pPr>
          </w:p>
          <w:p w:rsidR="00B16B0F" w:rsidRDefault="00B16B0F" w:rsidP="00A233B6">
            <w:pPr>
              <w:rPr>
                <w:rFonts w:ascii="OpenDyslexicAlta" w:hAnsi="OpenDyslexicAlta"/>
                <w:sz w:val="24"/>
              </w:rPr>
            </w:pPr>
          </w:p>
          <w:p w:rsidR="00B16B0F" w:rsidRDefault="00B16B0F" w:rsidP="00A233B6">
            <w:pPr>
              <w:rPr>
                <w:rFonts w:ascii="OpenDyslexicAlta" w:hAnsi="OpenDyslexicAlta"/>
                <w:sz w:val="24"/>
              </w:rPr>
            </w:pPr>
          </w:p>
          <w:p w:rsidR="00B16B0F" w:rsidRDefault="00B16B0F" w:rsidP="00A233B6">
            <w:pPr>
              <w:rPr>
                <w:rFonts w:ascii="OpenDyslexicAlta" w:hAnsi="OpenDyslexicAlta"/>
                <w:sz w:val="24"/>
              </w:rPr>
            </w:pPr>
          </w:p>
          <w:p w:rsidR="00556164" w:rsidRDefault="00556164" w:rsidP="00A233B6">
            <w:pPr>
              <w:rPr>
                <w:rFonts w:ascii="OpenDyslexicAlta" w:hAnsi="OpenDyslexicAlta"/>
                <w:sz w:val="24"/>
              </w:rPr>
            </w:pPr>
          </w:p>
          <w:p w:rsidR="007F1805" w:rsidRPr="00A233B6" w:rsidRDefault="007F1805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Health and Wellbeing </w:t>
            </w:r>
          </w:p>
        </w:tc>
      </w:tr>
      <w:tr w:rsidR="00406C76" w:rsidRPr="00D96205" w:rsidTr="00A545FA">
        <w:trPr>
          <w:trHeight w:val="2613"/>
        </w:trPr>
        <w:tc>
          <w:tcPr>
            <w:tcW w:w="10456" w:type="dxa"/>
            <w:shd w:val="clear" w:color="auto" w:fill="C5E0B3" w:themeFill="accent6" w:themeFillTint="66"/>
          </w:tcPr>
          <w:p w:rsidR="00F13ADD" w:rsidRDefault="00F13ADD" w:rsidP="00F13ADD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Enjoy our amazing Joe Wicks </w:t>
            </w:r>
            <w:r w:rsidRPr="00714B82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F13ADD" w:rsidRDefault="00512AFD" w:rsidP="00F13ADD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3714115</wp:posOffset>
                  </wp:positionH>
                  <wp:positionV relativeFrom="paragraph">
                    <wp:posOffset>44133</wp:posOffset>
                  </wp:positionV>
                  <wp:extent cx="2904648" cy="1528762"/>
                  <wp:effectExtent l="0" t="0" r="0" b="0"/>
                  <wp:wrapNone/>
                  <wp:docPr id="4" name="Picture 4" descr="Exercising my brain (article) | Khan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ercising my brain (article) | Khan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648" cy="152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3ADD" w:rsidRDefault="00D808B3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2" w:history="1">
              <w:r w:rsidR="00F13ADD" w:rsidRPr="009D1150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F13ADD" w:rsidRDefault="00F13ADD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D37AE2" w:rsidRPr="00E90499" w:rsidRDefault="00B16B0F" w:rsidP="00D37AE2">
            <w:pPr>
              <w:rPr>
                <w:rFonts w:ascii="OpenDyslexicAlta" w:hAnsi="OpenDyslexicAlta"/>
                <w:sz w:val="24"/>
                <w:u w:val="single"/>
              </w:rPr>
            </w:pPr>
            <w:r w:rsidRPr="00E90499">
              <w:rPr>
                <w:rFonts w:ascii="OpenDyslexicAlta" w:hAnsi="OpenDyslexicAlta"/>
                <w:sz w:val="24"/>
                <w:u w:val="single"/>
              </w:rPr>
              <w:t xml:space="preserve">Growth </w:t>
            </w:r>
            <w:proofErr w:type="spellStart"/>
            <w:r w:rsidRPr="00E90499">
              <w:rPr>
                <w:rFonts w:ascii="OpenDyslexicAlta" w:hAnsi="OpenDyslexicAlta"/>
                <w:sz w:val="24"/>
                <w:u w:val="single"/>
              </w:rPr>
              <w:t>Mindset</w:t>
            </w:r>
            <w:proofErr w:type="spellEnd"/>
            <w:r w:rsidRPr="00E90499">
              <w:rPr>
                <w:rFonts w:ascii="OpenDyslexicAlta" w:hAnsi="OpenDyslexicAlta"/>
                <w:sz w:val="24"/>
                <w:u w:val="single"/>
              </w:rPr>
              <w:t xml:space="preserve"> </w:t>
            </w:r>
          </w:p>
          <w:p w:rsidR="00B16B0F" w:rsidRDefault="00B16B0F" w:rsidP="00D37AE2">
            <w:pPr>
              <w:rPr>
                <w:rFonts w:ascii="OpenDyslexicAlta" w:hAnsi="OpenDyslexicAlta"/>
                <w:sz w:val="24"/>
              </w:rPr>
            </w:pPr>
          </w:p>
          <w:p w:rsidR="00B16B0F" w:rsidRDefault="00B16B0F" w:rsidP="00D37AE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Along with the amazing motivation charts you have made, another really great way is to train yourself to have a growth </w:t>
            </w:r>
            <w:proofErr w:type="spellStart"/>
            <w:r>
              <w:rPr>
                <w:rFonts w:ascii="OpenDyslexicAlta" w:hAnsi="OpenDyslexicAlta"/>
                <w:sz w:val="24"/>
              </w:rPr>
              <w:t>mindset</w:t>
            </w:r>
            <w:proofErr w:type="spellEnd"/>
            <w:r>
              <w:rPr>
                <w:rFonts w:ascii="OpenDyslexicAlta" w:hAnsi="OpenDyslexicAlta"/>
                <w:sz w:val="24"/>
              </w:rPr>
              <w:t xml:space="preserve">. We’ll be doing little growth </w:t>
            </w:r>
            <w:proofErr w:type="spellStart"/>
            <w:r>
              <w:rPr>
                <w:rFonts w:ascii="OpenDyslexicAlta" w:hAnsi="OpenDyslexicAlta"/>
                <w:sz w:val="24"/>
              </w:rPr>
              <w:t>mindset</w:t>
            </w:r>
            <w:proofErr w:type="spellEnd"/>
            <w:r>
              <w:rPr>
                <w:rFonts w:ascii="OpenDyslexicAlta" w:hAnsi="OpenDyslexicAlta"/>
                <w:sz w:val="24"/>
              </w:rPr>
              <w:t xml:space="preserve"> activities for the next few weeks before the end of term to help us s</w:t>
            </w:r>
            <w:r w:rsidR="00E90499">
              <w:rPr>
                <w:rFonts w:ascii="OpenDyslexicAlta" w:hAnsi="OpenDyslexicAlta"/>
                <w:sz w:val="24"/>
              </w:rPr>
              <w:t xml:space="preserve">tay motivated and to increase our growth </w:t>
            </w:r>
            <w:proofErr w:type="spellStart"/>
            <w:r w:rsidR="00E90499">
              <w:rPr>
                <w:rFonts w:ascii="OpenDyslexicAlta" w:hAnsi="OpenDyslexicAlta"/>
                <w:sz w:val="24"/>
              </w:rPr>
              <w:t>mindset</w:t>
            </w:r>
            <w:proofErr w:type="spellEnd"/>
            <w:r w:rsidR="00E90499">
              <w:rPr>
                <w:rFonts w:ascii="OpenDyslexicAlta" w:hAnsi="OpenDyslexicAlta"/>
                <w:sz w:val="24"/>
              </w:rPr>
              <w:t xml:space="preserve"> behaviours before we come back in August! </w:t>
            </w:r>
          </w:p>
          <w:p w:rsidR="00E90499" w:rsidRDefault="00E90499" w:rsidP="00D37AE2">
            <w:pPr>
              <w:rPr>
                <w:rFonts w:ascii="OpenDyslexicAlta" w:hAnsi="OpenDyslexicAlta"/>
                <w:sz w:val="24"/>
              </w:rPr>
            </w:pPr>
          </w:p>
          <w:p w:rsidR="00E90499" w:rsidRDefault="00E90499" w:rsidP="00D37AE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The first thing I would like you to do is think about the word MINDSET, GROWTH and FIXED? What do these words mean? Talk with adults in the house about what a growth </w:t>
            </w:r>
            <w:proofErr w:type="spellStart"/>
            <w:r>
              <w:rPr>
                <w:rFonts w:ascii="OpenDyslexicAlta" w:hAnsi="OpenDyslexicAlta"/>
                <w:sz w:val="24"/>
              </w:rPr>
              <w:t>mindset</w:t>
            </w:r>
            <w:proofErr w:type="spellEnd"/>
            <w:r>
              <w:rPr>
                <w:rFonts w:ascii="OpenDyslexicAlta" w:hAnsi="OpenDyslexicAlta"/>
                <w:sz w:val="24"/>
              </w:rPr>
              <w:t xml:space="preserve"> means and what a fixed </w:t>
            </w:r>
            <w:proofErr w:type="spellStart"/>
            <w:r>
              <w:rPr>
                <w:rFonts w:ascii="OpenDyslexicAlta" w:hAnsi="OpenDyslexicAlta"/>
                <w:sz w:val="24"/>
              </w:rPr>
              <w:t>mindset</w:t>
            </w:r>
            <w:proofErr w:type="spellEnd"/>
            <w:r>
              <w:rPr>
                <w:rFonts w:ascii="OpenDyslexicAlta" w:hAnsi="OpenDyslexicAlta"/>
                <w:sz w:val="24"/>
              </w:rPr>
              <w:t xml:space="preserve"> means? You can use the internet to help you research these terms too. Here’s a great video link also…</w:t>
            </w:r>
          </w:p>
          <w:p w:rsidR="00E90499" w:rsidRDefault="00E90499" w:rsidP="00D37AE2">
            <w:pPr>
              <w:rPr>
                <w:rFonts w:ascii="OpenDyslexicAlta" w:hAnsi="OpenDyslexicAlta"/>
                <w:sz w:val="24"/>
              </w:rPr>
            </w:pPr>
          </w:p>
          <w:p w:rsidR="00E90499" w:rsidRPr="00E90499" w:rsidRDefault="00E90499" w:rsidP="00D37AE2">
            <w:pPr>
              <w:rPr>
                <w:rStyle w:val="Hyperlink"/>
              </w:rPr>
            </w:pPr>
            <w:hyperlink r:id="rId13" w:history="1">
              <w:r w:rsidRPr="00E90499">
                <w:rPr>
                  <w:rStyle w:val="Hyperlink"/>
                  <w:rFonts w:ascii="OpenDyslexicAlta" w:hAnsi="OpenDyslexicAlta"/>
                  <w:sz w:val="24"/>
                </w:rPr>
                <w:t>https://www.youtube.com/watch?v=2zrtHt3bBmQ</w:t>
              </w:r>
            </w:hyperlink>
          </w:p>
          <w:p w:rsidR="00E90499" w:rsidRDefault="00E90499" w:rsidP="00D37AE2">
            <w:pPr>
              <w:rPr>
                <w:rFonts w:ascii="OpenDyslexicAlta" w:hAnsi="OpenDyslexicAlta"/>
                <w:sz w:val="24"/>
              </w:rPr>
            </w:pPr>
          </w:p>
          <w:p w:rsidR="00E90499" w:rsidRDefault="00E90499" w:rsidP="00E90499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The second thing I would like you to do today is to find out what type of </w:t>
            </w:r>
            <w:proofErr w:type="spellStart"/>
            <w:r>
              <w:rPr>
                <w:rFonts w:ascii="OpenDyslexicAlta" w:hAnsi="OpenDyslexicAlta"/>
                <w:sz w:val="24"/>
              </w:rPr>
              <w:t>mindset</w:t>
            </w:r>
            <w:proofErr w:type="spellEnd"/>
            <w:r>
              <w:rPr>
                <w:rFonts w:ascii="OpenDyslexicAlta" w:hAnsi="OpenDyslexicAlta"/>
                <w:sz w:val="24"/>
              </w:rPr>
              <w:t xml:space="preserve"> you already have. Remember, there’s no right or wrong answer here and actually we all have different </w:t>
            </w:r>
            <w:proofErr w:type="spellStart"/>
            <w:r>
              <w:rPr>
                <w:rFonts w:ascii="OpenDyslexicAlta" w:hAnsi="OpenDyslexicAlta"/>
                <w:sz w:val="24"/>
              </w:rPr>
              <w:t>mindsets</w:t>
            </w:r>
            <w:proofErr w:type="spellEnd"/>
            <w:r>
              <w:rPr>
                <w:rFonts w:ascii="OpenDyslexicAlta" w:hAnsi="OpenDyslexicAlta"/>
                <w:sz w:val="24"/>
              </w:rPr>
              <w:t xml:space="preserve"> at different times. </w:t>
            </w:r>
          </w:p>
          <w:p w:rsidR="00E90499" w:rsidRDefault="00E90499" w:rsidP="00E90499">
            <w:pPr>
              <w:rPr>
                <w:rFonts w:ascii="OpenDyslexicAlta" w:hAnsi="OpenDyslexicAlta"/>
                <w:sz w:val="24"/>
              </w:rPr>
            </w:pPr>
          </w:p>
          <w:p w:rsidR="00E90499" w:rsidRDefault="00E90499" w:rsidP="00E90499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4" w:history="1">
              <w:r w:rsidRPr="00E90499">
                <w:rPr>
                  <w:rStyle w:val="Hyperlink"/>
                  <w:rFonts w:ascii="OpenDyslexicAlta" w:hAnsi="OpenDyslexicAlta"/>
                  <w:sz w:val="24"/>
                </w:rPr>
                <w:t>https://wabisabilearning.com/blogs/mindfulness-wellbeing/growth-mindset-quiz</w:t>
              </w:r>
            </w:hyperlink>
          </w:p>
          <w:p w:rsidR="00512AFD" w:rsidRPr="00D96205" w:rsidRDefault="00512AFD" w:rsidP="00E90499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C74030" w:rsidRPr="00C74030" w:rsidRDefault="00C63AB3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 xml:space="preserve">Art </w:t>
            </w:r>
          </w:p>
          <w:p w:rsidR="00C74030" w:rsidRDefault="00C74030" w:rsidP="00C60752">
            <w:pPr>
              <w:rPr>
                <w:rFonts w:ascii="OpenDyslexicAlta" w:hAnsi="OpenDyslexicAlta"/>
                <w:sz w:val="24"/>
              </w:rPr>
            </w:pPr>
          </w:p>
          <w:p w:rsidR="00C63AB3" w:rsidRDefault="00C63AB3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I saw this beautiful art task and thought that it combined a few things that</w:t>
            </w:r>
            <w:r w:rsidR="00D808B3">
              <w:rPr>
                <w:rFonts w:ascii="OpenDyslexicAlta" w:hAnsi="OpenDyslexicAlta"/>
                <w:sz w:val="24"/>
              </w:rPr>
              <w:t xml:space="preserve"> we had been working on already: r</w:t>
            </w:r>
            <w:r>
              <w:rPr>
                <w:rFonts w:ascii="OpenDyslexicAlta" w:hAnsi="OpenDyslexicAlta"/>
                <w:sz w:val="24"/>
              </w:rPr>
              <w:t>e-using plastic and nature art! All you’ll need is an empty milk carton, some PVA glue, scissors and nature</w:t>
            </w:r>
            <w:r w:rsidR="00D808B3">
              <w:rPr>
                <w:rFonts w:ascii="OpenDyslexicAlta" w:hAnsi="OpenDyslexicAlta"/>
                <w:sz w:val="24"/>
              </w:rPr>
              <w:t xml:space="preserve"> to make these beautiful outdoor/indoor lanterns (or they could be tubs for storing pencils/pens at your work </w:t>
            </w:r>
            <w:proofErr w:type="gramStart"/>
            <w:r w:rsidR="00D808B3">
              <w:rPr>
                <w:rFonts w:ascii="OpenDyslexicAlta" w:hAnsi="OpenDyslexicAlta"/>
                <w:sz w:val="24"/>
              </w:rPr>
              <w:t xml:space="preserve">station </w:t>
            </w:r>
            <w:proofErr w:type="gramEnd"/>
            <w:r w:rsidRPr="00C63AB3">
              <w:rPr>
                <w:rFonts w:ascii="OpenDyslexicAlta" w:hAnsi="OpenDyslexicAlta"/>
                <w:sz w:val="24"/>
              </w:rPr>
              <w:sym w:font="Wingdings" w:char="F04A"/>
            </w:r>
            <w:r w:rsidR="00D808B3">
              <w:rPr>
                <w:rFonts w:ascii="OpenDyslexicAlta" w:hAnsi="OpenDyslexicAlta"/>
                <w:sz w:val="24"/>
              </w:rPr>
              <w:t>) S</w:t>
            </w:r>
            <w:r>
              <w:rPr>
                <w:rFonts w:ascii="OpenDyslexicAlta" w:hAnsi="OpenDyslexicAlta"/>
                <w:sz w:val="24"/>
              </w:rPr>
              <w:t xml:space="preserve">end </w:t>
            </w:r>
            <w:bookmarkStart w:id="0" w:name="_GoBack"/>
            <w:bookmarkEnd w:id="0"/>
            <w:r>
              <w:rPr>
                <w:rFonts w:ascii="OpenDyslexicAlta" w:hAnsi="OpenDyslexicAlta"/>
                <w:sz w:val="24"/>
              </w:rPr>
              <w:t xml:space="preserve">me photos </w:t>
            </w:r>
            <w:r w:rsidR="00D808B3">
              <w:rPr>
                <w:rFonts w:ascii="OpenDyslexicAlta" w:hAnsi="OpenDyslexicAlta"/>
                <w:sz w:val="24"/>
              </w:rPr>
              <w:t>o</w:t>
            </w:r>
            <w:r>
              <w:rPr>
                <w:rFonts w:ascii="OpenDyslexicAlta" w:hAnsi="OpenDyslexicAlta"/>
                <w:sz w:val="24"/>
              </w:rPr>
              <w:t xml:space="preserve">f your results! </w:t>
            </w:r>
          </w:p>
          <w:p w:rsidR="00C63AB3" w:rsidRDefault="00C63AB3" w:rsidP="00C60752">
            <w:pPr>
              <w:rPr>
                <w:rFonts w:ascii="OpenDyslexicAlta" w:hAnsi="OpenDyslexicAlta"/>
                <w:sz w:val="24"/>
              </w:rPr>
            </w:pPr>
          </w:p>
          <w:p w:rsidR="00C63AB3" w:rsidRDefault="00C63AB3" w:rsidP="00C60752">
            <w:pPr>
              <w:rPr>
                <w:rFonts w:ascii="OpenDyslexicAlta" w:hAnsi="OpenDyslexicAlta"/>
                <w:sz w:val="24"/>
              </w:rPr>
            </w:pPr>
          </w:p>
          <w:p w:rsidR="00C63AB3" w:rsidRDefault="00C63AB3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205740</wp:posOffset>
                  </wp:positionV>
                  <wp:extent cx="4619625" cy="43624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436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63AB3" w:rsidRPr="00C63AB3" w:rsidRDefault="00C63AB3" w:rsidP="00C60752">
            <w:pPr>
              <w:rPr>
                <w:rFonts w:ascii="OpenDyslexicAlta" w:hAnsi="OpenDyslexicAlta"/>
                <w:sz w:val="24"/>
              </w:rPr>
            </w:pPr>
          </w:p>
          <w:p w:rsidR="00F13ADD" w:rsidRDefault="00F13ADD" w:rsidP="00C60752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714B82" w:rsidRDefault="00714B82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Default="00C63AB3" w:rsidP="00C63AB3">
            <w:pPr>
              <w:rPr>
                <w:rFonts w:ascii="OpenDyslexicAlta" w:hAnsi="OpenDyslexicAlta"/>
                <w:sz w:val="12"/>
              </w:rPr>
            </w:pPr>
          </w:p>
          <w:p w:rsidR="00C63AB3" w:rsidRPr="00987678" w:rsidRDefault="00C63AB3" w:rsidP="00C63AB3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9677E" w:rsidRPr="00987678" w:rsidRDefault="0099677E" w:rsidP="00786721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86FFB"/>
    <w:rsid w:val="00092FC8"/>
    <w:rsid w:val="0011426C"/>
    <w:rsid w:val="001A5F13"/>
    <w:rsid w:val="001A7C6A"/>
    <w:rsid w:val="001B0331"/>
    <w:rsid w:val="001D08C6"/>
    <w:rsid w:val="001E1171"/>
    <w:rsid w:val="001E4912"/>
    <w:rsid w:val="0021165C"/>
    <w:rsid w:val="0031099C"/>
    <w:rsid w:val="003346ED"/>
    <w:rsid w:val="00344638"/>
    <w:rsid w:val="003478A4"/>
    <w:rsid w:val="00364A47"/>
    <w:rsid w:val="00406C76"/>
    <w:rsid w:val="00433BDF"/>
    <w:rsid w:val="00496E77"/>
    <w:rsid w:val="004B101E"/>
    <w:rsid w:val="00505C06"/>
    <w:rsid w:val="0050714E"/>
    <w:rsid w:val="00512AFD"/>
    <w:rsid w:val="00544D17"/>
    <w:rsid w:val="00556164"/>
    <w:rsid w:val="00591FB1"/>
    <w:rsid w:val="005A1CC5"/>
    <w:rsid w:val="005B155F"/>
    <w:rsid w:val="005C3B50"/>
    <w:rsid w:val="005D3960"/>
    <w:rsid w:val="005E4C31"/>
    <w:rsid w:val="00607506"/>
    <w:rsid w:val="006327AD"/>
    <w:rsid w:val="00675D3E"/>
    <w:rsid w:val="006D3BFC"/>
    <w:rsid w:val="00714B82"/>
    <w:rsid w:val="0073213B"/>
    <w:rsid w:val="00786721"/>
    <w:rsid w:val="007929AC"/>
    <w:rsid w:val="007F1805"/>
    <w:rsid w:val="008A7208"/>
    <w:rsid w:val="008D742D"/>
    <w:rsid w:val="008E55F0"/>
    <w:rsid w:val="009365E4"/>
    <w:rsid w:val="00937165"/>
    <w:rsid w:val="00987678"/>
    <w:rsid w:val="0099677E"/>
    <w:rsid w:val="009A6DFA"/>
    <w:rsid w:val="00A233B6"/>
    <w:rsid w:val="00A545FA"/>
    <w:rsid w:val="00A72922"/>
    <w:rsid w:val="00B16B0F"/>
    <w:rsid w:val="00B4669A"/>
    <w:rsid w:val="00B917FD"/>
    <w:rsid w:val="00BA0151"/>
    <w:rsid w:val="00BA7C13"/>
    <w:rsid w:val="00C3411A"/>
    <w:rsid w:val="00C34BAE"/>
    <w:rsid w:val="00C60752"/>
    <w:rsid w:val="00C63AB3"/>
    <w:rsid w:val="00C74030"/>
    <w:rsid w:val="00D37AE2"/>
    <w:rsid w:val="00D46565"/>
    <w:rsid w:val="00D808B3"/>
    <w:rsid w:val="00D81DE8"/>
    <w:rsid w:val="00D96205"/>
    <w:rsid w:val="00DF0587"/>
    <w:rsid w:val="00E90499"/>
    <w:rsid w:val="00ED64CF"/>
    <w:rsid w:val="00EE4F7C"/>
    <w:rsid w:val="00F13ADD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2zrtHt3bBm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ebstockreview.net/explore/spelling-clipart-background/&amp;psig=AOvVaw2GylXrsAWHtWx5CTS9dvmb&amp;ust=1585132711654000&amp;source=images&amp;cd=vfe&amp;ved=0CAIQjRxqFwoTCMi2nNb1sugCFQAAAAAdAAAAABAD" TargetMode="External"/><Relationship Id="rId12" Type="http://schemas.openxmlformats.org/officeDocument/2006/relationships/hyperlink" Target="https://www.youtube.com/watch?v=coC0eUSm-p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google.com/url?sa=i&amp;url=https://ya-webdesign.com/explore/reading-transparent-png/&amp;psig=AOvVaw0ITnUyWfoKvNbn8u8Hc1oN&amp;ust=1585047746626000&amp;source=images&amp;cd=vfe&amp;ved=0CAIQjRxqFwoTCJCq45e5sOgCFQAAAAAdAAAAABAO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14" Type="http://schemas.openxmlformats.org/officeDocument/2006/relationships/hyperlink" Target="https://wabisabilearning.com/blogs/mindfulness-wellbeing/growth-mindset-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3</cp:revision>
  <dcterms:created xsi:type="dcterms:W3CDTF">2020-06-01T10:22:00Z</dcterms:created>
  <dcterms:modified xsi:type="dcterms:W3CDTF">2020-06-01T10:27:00Z</dcterms:modified>
</cp:coreProperties>
</file>