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092FC8">
        <w:rPr>
          <w:rFonts w:ascii="OpenDyslexicAlta" w:hAnsi="OpenDyslexicAlta"/>
          <w:sz w:val="28"/>
          <w:u w:val="single"/>
        </w:rPr>
        <w:t>Monday 11</w:t>
      </w:r>
      <w:r w:rsidR="00092FC8" w:rsidRPr="00092FC8">
        <w:rPr>
          <w:rFonts w:ascii="OpenDyslexicAlta" w:hAnsi="OpenDyslexicAlta"/>
          <w:sz w:val="28"/>
          <w:u w:val="single"/>
          <w:vertAlign w:val="superscript"/>
        </w:rPr>
        <w:t>th</w:t>
      </w:r>
      <w:r w:rsidR="00092FC8">
        <w:rPr>
          <w:rFonts w:ascii="OpenDyslexicAlta" w:hAnsi="OpenDyslexicAlta"/>
          <w:sz w:val="28"/>
          <w:u w:val="single"/>
        </w:rPr>
        <w:t xml:space="preserve"> May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C34BAE" w:rsidRPr="009365E4" w:rsidRDefault="009365E4" w:rsidP="00714B82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9365E4">
              <w:rPr>
                <w:rFonts w:ascii="OpenDyslexicAlta" w:hAnsi="OpenDyslexicAlta"/>
                <w:szCs w:val="24"/>
              </w:rPr>
              <w:t xml:space="preserve">Finish a piece of work/job which you haven’t already completed </w:t>
            </w:r>
          </w:p>
          <w:p w:rsidR="0011426C" w:rsidRPr="009365E4" w:rsidRDefault="00556164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Draw a picture of your long weekend</w:t>
            </w:r>
          </w:p>
          <w:p w:rsidR="00714B82" w:rsidRDefault="00714B82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Eat lunch outside and count how many birds, insects and animals you see</w:t>
            </w:r>
          </w:p>
          <w:p w:rsidR="00D46565" w:rsidRPr="00556164" w:rsidRDefault="00714B82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CA2BCCD" wp14:editId="3A320247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164465</wp:posOffset>
                  </wp:positionV>
                  <wp:extent cx="976544" cy="1400175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54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164">
              <w:rPr>
                <w:rFonts w:ascii="OpenDyslexicAlta" w:hAnsi="OpenDyslexicAlta"/>
                <w:szCs w:val="24"/>
              </w:rPr>
              <w:t xml:space="preserve">Mark something off you Happiness Bingo or the May Calendar. 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9365E4" w:rsidP="009365E4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ED64CF" w:rsidRDefault="00092FC8" w:rsidP="00BA0151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Please find your reading for this week listed below. Where’s the comfiest place you can read? Can you make a den or find a cosy spot! Feel free to send me some pictures. </w:t>
            </w:r>
          </w:p>
          <w:p w:rsidR="00092FC8" w:rsidRDefault="00092FC8" w:rsidP="00BA0151">
            <w:pPr>
              <w:rPr>
                <w:rFonts w:ascii="OpenDyslexicAlta" w:hAnsi="OpenDyslexicAlta"/>
              </w:rPr>
            </w:pPr>
          </w:p>
          <w:p w:rsidR="00092FC8" w:rsidRDefault="00092FC8" w:rsidP="00092FC8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Rowlings – To the end of the book please. </w:t>
            </w:r>
          </w:p>
          <w:p w:rsidR="00092FC8" w:rsidRDefault="00092FC8" w:rsidP="00092FC8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Walliams and Dahls – To the end of the book please. </w:t>
            </w:r>
          </w:p>
          <w:p w:rsidR="00092FC8" w:rsidRDefault="00092FC8" w:rsidP="00092FC8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Robins – </w:t>
            </w:r>
            <w:r w:rsidR="005A1CC5">
              <w:rPr>
                <w:rFonts w:ascii="OpenDyslexicAlta" w:hAnsi="OpenDyslexicAlta"/>
                <w:sz w:val="20"/>
              </w:rPr>
              <w:t>Care of Henry, page 20 please</w:t>
            </w:r>
            <w:r>
              <w:rPr>
                <w:rFonts w:ascii="OpenDyslexicAlta" w:hAnsi="OpenDyslexicAlta"/>
                <w:sz w:val="20"/>
              </w:rPr>
              <w:t>.</w:t>
            </w:r>
          </w:p>
          <w:p w:rsidR="00092FC8" w:rsidRDefault="00092FC8" w:rsidP="00092FC8">
            <w:pPr>
              <w:jc w:val="center"/>
              <w:rPr>
                <w:rFonts w:ascii="OpenDyslexicAlta" w:hAnsi="OpenDyslexicAlta"/>
                <w:sz w:val="20"/>
              </w:rPr>
            </w:pPr>
            <w:proofErr w:type="spellStart"/>
            <w:r>
              <w:rPr>
                <w:rFonts w:ascii="OpenDyslexicAlta" w:hAnsi="OpenDyslexicAlta"/>
                <w:sz w:val="20"/>
              </w:rPr>
              <w:t>Morpurgos</w:t>
            </w:r>
            <w:proofErr w:type="spellEnd"/>
            <w:r>
              <w:rPr>
                <w:rFonts w:ascii="OpenDyslexicAlta" w:hAnsi="OpenDyslexicAlta"/>
                <w:sz w:val="20"/>
              </w:rPr>
              <w:t xml:space="preserve"> – </w:t>
            </w:r>
            <w:r w:rsidR="005A1CC5">
              <w:rPr>
                <w:rFonts w:ascii="OpenDyslexicAlta" w:hAnsi="OpenDyslexicAlta"/>
                <w:sz w:val="20"/>
              </w:rPr>
              <w:t>Victorian Adventure, page 15 please</w:t>
            </w:r>
            <w:r w:rsidR="005A1CC5">
              <w:rPr>
                <w:rFonts w:ascii="OpenDyslexicAlta" w:hAnsi="OpenDyslexicAlta"/>
                <w:sz w:val="20"/>
              </w:rPr>
              <w:t>.</w:t>
            </w:r>
            <w:bookmarkStart w:id="0" w:name="_GoBack"/>
            <w:bookmarkEnd w:id="0"/>
          </w:p>
          <w:p w:rsidR="00092FC8" w:rsidRDefault="00092FC8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D37AE2" w:rsidRDefault="00D37AE2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9365E4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FBC3E4C" wp14:editId="03AEBD3C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105410</wp:posOffset>
                  </wp:positionV>
                  <wp:extent cx="1057275" cy="647374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65E4" w:rsidRDefault="00BA0151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Spelling </w:t>
            </w:r>
          </w:p>
          <w:p w:rsidR="009365E4" w:rsidRDefault="009365E4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BA0151" w:rsidRPr="009365E4" w:rsidRDefault="00D37AE2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Please kindly </w:t>
            </w:r>
            <w:r w:rsidR="00092FC8">
              <w:rPr>
                <w:rFonts w:ascii="OpenDyslexicAlta" w:hAnsi="OpenDyslexicAlta"/>
                <w:sz w:val="24"/>
                <w:szCs w:val="24"/>
              </w:rPr>
              <w:t xml:space="preserve">check </w:t>
            </w:r>
            <w:proofErr w:type="gramStart"/>
            <w:r w:rsidR="00092FC8">
              <w:rPr>
                <w:rFonts w:ascii="OpenDyslexicAlta" w:hAnsi="OpenDyslexicAlta"/>
                <w:sz w:val="24"/>
                <w:szCs w:val="24"/>
              </w:rPr>
              <w:t>your</w:t>
            </w:r>
            <w:proofErr w:type="gramEnd"/>
            <w:r w:rsidR="00092FC8">
              <w:rPr>
                <w:rFonts w:ascii="OpenDyslexicAlta" w:hAnsi="OpenDyslexicAlta"/>
                <w:sz w:val="24"/>
                <w:szCs w:val="24"/>
              </w:rPr>
              <w:t xml:space="preserve"> spelling words in the attached document (in the blog post) and practise these using an active spelling strategy of your choice</w:t>
            </w:r>
            <w:r>
              <w:rPr>
                <w:rFonts w:ascii="OpenDyslexicAlta" w:hAnsi="OpenDyslexicAlta"/>
                <w:sz w:val="24"/>
                <w:szCs w:val="24"/>
              </w:rPr>
              <w:t xml:space="preserve">. 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7F1805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37AE2">
              <w:rPr>
                <w:rFonts w:ascii="OpenDyslexicAlta" w:hAnsi="OpenDyslexicAlta"/>
                <w:sz w:val="24"/>
              </w:rPr>
              <w:t>Maths Problem Solving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BA0151" w:rsidRDefault="00BA0151" w:rsidP="00A233B6">
            <w:pPr>
              <w:rPr>
                <w:rFonts w:ascii="OpenDyslexicAlta" w:hAnsi="OpenDyslexicAlta"/>
                <w:sz w:val="24"/>
              </w:rPr>
            </w:pPr>
          </w:p>
          <w:p w:rsidR="00BA0151" w:rsidRDefault="00D37AE2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9525</wp:posOffset>
                  </wp:positionV>
                  <wp:extent cx="1495425" cy="1240790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64CF" w:rsidRDefault="00ED64CF" w:rsidP="00A233B6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556164" w:rsidRDefault="00556164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BA0151">
        <w:trPr>
          <w:trHeight w:val="3393"/>
        </w:trPr>
        <w:tc>
          <w:tcPr>
            <w:tcW w:w="10456" w:type="dxa"/>
            <w:shd w:val="clear" w:color="auto" w:fill="C5E0B3" w:themeFill="accent6" w:themeFillTint="66"/>
          </w:tcPr>
          <w:p w:rsidR="00BA0151" w:rsidRDefault="00092FC8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Enjoy our amazing Joe Wicks, I think I’ll be doing mine in the garden today even though it’s a little bit colder</w:t>
            </w:r>
            <w:r w:rsidR="00714B82">
              <w:rPr>
                <w:rFonts w:ascii="OpenDyslexicAlta" w:hAnsi="OpenDyslexicAlta"/>
                <w:sz w:val="24"/>
              </w:rPr>
              <w:t xml:space="preserve"> </w:t>
            </w:r>
            <w:r w:rsidR="00714B82" w:rsidRPr="00714B82">
              <w:rPr>
                <w:rFonts w:ascii="OpenDyslexicAlta" w:hAnsi="OpenDyslexicAlta"/>
                <w:sz w:val="24"/>
              </w:rPr>
              <w:sym w:font="Wingdings" w:char="F04A"/>
            </w:r>
            <w:r w:rsidR="00714B82">
              <w:rPr>
                <w:rFonts w:ascii="OpenDyslexicAlta" w:hAnsi="OpenDyslexicAlta"/>
                <w:sz w:val="24"/>
              </w:rPr>
              <w:t xml:space="preserve">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BA0151" w:rsidRDefault="005A1CC5" w:rsidP="00BA0151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1" w:history="1">
              <w:r w:rsidR="00BA0151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D37AE2" w:rsidRDefault="00D37AE2" w:rsidP="00BA0151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D37AE2" w:rsidRPr="00D37AE2" w:rsidRDefault="00092FC8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Can you come up with your OWN alphabet challenge and share it with a friend?</w:t>
            </w: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188512</wp:posOffset>
                  </wp:positionV>
                  <wp:extent cx="5475298" cy="7086600"/>
                  <wp:effectExtent l="0" t="0" r="0" b="0"/>
                  <wp:wrapNone/>
                  <wp:docPr id="5" name="Picture 5" descr="Your Name Workout + Free Printable | Mom on the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Name Workout + Free Printable | Mom on the 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298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092FC8" w:rsidRDefault="00092FC8" w:rsidP="00D37AE2">
            <w:pPr>
              <w:rPr>
                <w:rFonts w:ascii="OpenDyslexicAlta" w:hAnsi="OpenDyslexicAlta"/>
                <w:sz w:val="24"/>
              </w:rPr>
            </w:pPr>
          </w:p>
          <w:p w:rsidR="00D37AE2" w:rsidRPr="00D96205" w:rsidRDefault="00D37AE2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C74030" w:rsidRPr="00C74030" w:rsidRDefault="00092FC8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Science</w:t>
            </w:r>
          </w:p>
          <w:p w:rsidR="00C74030" w:rsidRDefault="00C74030" w:rsidP="00C60752">
            <w:pPr>
              <w:rPr>
                <w:rFonts w:ascii="OpenDyslexicAlta" w:hAnsi="OpenDyslexicAlta"/>
                <w:sz w:val="24"/>
              </w:rPr>
            </w:pPr>
          </w:p>
          <w:p w:rsidR="00C74030" w:rsidRDefault="00092FC8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Remember when Space was ALMOST our new topic? Well I’ve been keeping an eye out for space-relating things do that we can still do some learning in that area too! Check out this amazing lesson from Glasgow Science Centre about how to make your own star-scope. </w:t>
            </w:r>
          </w:p>
          <w:p w:rsidR="00092FC8" w:rsidRDefault="00092FC8" w:rsidP="00C60752">
            <w:pPr>
              <w:rPr>
                <w:rFonts w:ascii="OpenDyslexicAlta" w:hAnsi="OpenDyslexicAlta"/>
                <w:sz w:val="24"/>
              </w:rPr>
            </w:pPr>
          </w:p>
          <w:p w:rsidR="00092FC8" w:rsidRPr="00092FC8" w:rsidRDefault="005A1CC5" w:rsidP="00C60752">
            <w:pPr>
              <w:rPr>
                <w:rStyle w:val="Hyperlink"/>
              </w:rPr>
            </w:pPr>
            <w:hyperlink r:id="rId13" w:history="1">
              <w:r w:rsidR="00092FC8" w:rsidRPr="00092FC8">
                <w:rPr>
                  <w:rStyle w:val="Hyperlink"/>
                  <w:rFonts w:ascii="OpenDyslexicAlta" w:hAnsi="OpenDyslexicAlta"/>
                  <w:sz w:val="24"/>
                </w:rPr>
                <w:t>https://www.glasgowsciencecentre.org/gsc-at-home/coming-soon</w:t>
              </w:r>
            </w:hyperlink>
          </w:p>
          <w:p w:rsidR="00C60752" w:rsidRPr="00714B82" w:rsidRDefault="00C60752" w:rsidP="00C60752">
            <w:pPr>
              <w:rPr>
                <w:rFonts w:ascii="OpenDyslexicAlta" w:hAnsi="OpenDyslexicAlta"/>
                <w:sz w:val="12"/>
              </w:rPr>
            </w:pPr>
          </w:p>
          <w:p w:rsidR="00C60752" w:rsidRPr="00C60752" w:rsidRDefault="00092FC8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IDL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EE4F7C" w:rsidRDefault="00EE4F7C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Did you all complete last week’s IDL task? It was a biggie – check the google classroom to remind you what you had to do and find today’s task there too! </w:t>
            </w: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A5F13"/>
    <w:rsid w:val="001A7C6A"/>
    <w:rsid w:val="001B0331"/>
    <w:rsid w:val="001D08C6"/>
    <w:rsid w:val="001E1171"/>
    <w:rsid w:val="001E4912"/>
    <w:rsid w:val="0021165C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0714E"/>
    <w:rsid w:val="00544D17"/>
    <w:rsid w:val="00556164"/>
    <w:rsid w:val="00591FB1"/>
    <w:rsid w:val="005A1CC5"/>
    <w:rsid w:val="005B155F"/>
    <w:rsid w:val="005C3B50"/>
    <w:rsid w:val="005E4C31"/>
    <w:rsid w:val="00607506"/>
    <w:rsid w:val="006327AD"/>
    <w:rsid w:val="00675D3E"/>
    <w:rsid w:val="006D3BFC"/>
    <w:rsid w:val="00714B82"/>
    <w:rsid w:val="0073213B"/>
    <w:rsid w:val="007929AC"/>
    <w:rsid w:val="007F1805"/>
    <w:rsid w:val="008A7208"/>
    <w:rsid w:val="008D742D"/>
    <w:rsid w:val="008E55F0"/>
    <w:rsid w:val="009365E4"/>
    <w:rsid w:val="00937165"/>
    <w:rsid w:val="00987678"/>
    <w:rsid w:val="0099677E"/>
    <w:rsid w:val="00A233B6"/>
    <w:rsid w:val="00A72922"/>
    <w:rsid w:val="00B4669A"/>
    <w:rsid w:val="00B917FD"/>
    <w:rsid w:val="00BA0151"/>
    <w:rsid w:val="00BA7C13"/>
    <w:rsid w:val="00C3411A"/>
    <w:rsid w:val="00C34BAE"/>
    <w:rsid w:val="00C60752"/>
    <w:rsid w:val="00C74030"/>
    <w:rsid w:val="00D37AE2"/>
    <w:rsid w:val="00D46565"/>
    <w:rsid w:val="00D96205"/>
    <w:rsid w:val="00DF0587"/>
    <w:rsid w:val="00ED64CF"/>
    <w:rsid w:val="00EE4F7C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lasgowsciencecentre.org/gsc-at-home/coming-so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oC0eUSm-pc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5</cp:revision>
  <dcterms:created xsi:type="dcterms:W3CDTF">2020-05-11T07:59:00Z</dcterms:created>
  <dcterms:modified xsi:type="dcterms:W3CDTF">2020-05-12T08:16:00Z</dcterms:modified>
</cp:coreProperties>
</file>