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714B82">
        <w:rPr>
          <w:rFonts w:ascii="OpenDyslexicAlta" w:hAnsi="OpenDyslexicAlta"/>
          <w:sz w:val="28"/>
          <w:u w:val="single"/>
        </w:rPr>
        <w:t>Tuesday 5th</w:t>
      </w:r>
      <w:r w:rsidR="009365E4">
        <w:rPr>
          <w:rFonts w:ascii="OpenDyslexicAlta" w:hAnsi="OpenDyslexicAlta"/>
          <w:sz w:val="28"/>
          <w:u w:val="single"/>
        </w:rPr>
        <w:t xml:space="preserve"> </w:t>
      </w:r>
      <w:r w:rsidR="00ED64CF">
        <w:rPr>
          <w:rFonts w:ascii="OpenDyslexicAlta" w:hAnsi="OpenDyslexicAlta"/>
          <w:sz w:val="28"/>
          <w:u w:val="single"/>
        </w:rPr>
        <w:t xml:space="preserve">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C74030">
        <w:trPr>
          <w:trHeight w:val="2550"/>
        </w:trPr>
        <w:tc>
          <w:tcPr>
            <w:tcW w:w="10456" w:type="dxa"/>
            <w:shd w:val="clear" w:color="auto" w:fill="DEBDFF"/>
          </w:tcPr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</w:p>
          <w:p w:rsidR="00C34BAE" w:rsidRPr="009365E4" w:rsidRDefault="009365E4" w:rsidP="00714B82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9365E4">
              <w:rPr>
                <w:rFonts w:ascii="OpenDyslexicAlta" w:hAnsi="OpenDyslexicAlta"/>
                <w:szCs w:val="24"/>
              </w:rPr>
              <w:t xml:space="preserve">Finish a piece of work/job which you haven’t already completed </w:t>
            </w:r>
          </w:p>
          <w:p w:rsidR="0011426C" w:rsidRPr="009365E4" w:rsidRDefault="00BA0151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 w:rsidRPr="009365E4">
              <w:rPr>
                <w:rFonts w:ascii="OpenDyslexicAlta" w:hAnsi="OpenDyslexicAlta"/>
                <w:szCs w:val="24"/>
              </w:rPr>
              <w:t>Help a sibling with their home learning, or help a parent with a job around the house</w:t>
            </w:r>
          </w:p>
          <w:p w:rsidR="00714B82" w:rsidRDefault="00714B82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>Eat lunch outside and count how many birds, insects and animals you see</w:t>
            </w:r>
          </w:p>
          <w:p w:rsidR="00714B82" w:rsidRDefault="00714B82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CA2BCCD" wp14:editId="3A320247">
                  <wp:simplePos x="0" y="0"/>
                  <wp:positionH relativeFrom="column">
                    <wp:posOffset>5786120</wp:posOffset>
                  </wp:positionH>
                  <wp:positionV relativeFrom="paragraph">
                    <wp:posOffset>164465</wp:posOffset>
                  </wp:positionV>
                  <wp:extent cx="976544" cy="1400175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6544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DyslexicAlta" w:hAnsi="OpenDyslexicAlta"/>
                <w:szCs w:val="24"/>
              </w:rPr>
              <w:t xml:space="preserve">Spend time researching some POSITIVE stories about people helping with the corona virus. </w:t>
            </w:r>
          </w:p>
          <w:p w:rsidR="00D46565" w:rsidRPr="009365E4" w:rsidRDefault="00714B82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Cs w:val="24"/>
              </w:rPr>
            </w:pPr>
            <w:r>
              <w:rPr>
                <w:rFonts w:ascii="OpenDyslexicAlta" w:hAnsi="OpenDyslexicAlta"/>
                <w:szCs w:val="24"/>
              </w:rPr>
              <w:t xml:space="preserve">Mark something off you Happiness Bingo or the May Calendar.  </w:t>
            </w:r>
          </w:p>
          <w:p w:rsidR="009365E4" w:rsidRPr="007F1805" w:rsidRDefault="009365E4" w:rsidP="0021165C">
            <w:pPr>
              <w:pStyle w:val="ListParagraph"/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D96205">
            <w:pPr>
              <w:rPr>
                <w:rFonts w:ascii="OpenDyslexicAlta" w:hAnsi="OpenDyslexicAlta"/>
              </w:rPr>
            </w:pPr>
            <w:r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9365E4" w:rsidRPr="00F633E8" w:rsidRDefault="009365E4" w:rsidP="009365E4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Pr="00591FB1" w:rsidRDefault="009365E4" w:rsidP="009365E4">
            <w:pPr>
              <w:rPr>
                <w:rFonts w:ascii="OpenDyslexicAlta" w:hAnsi="OpenDyslexicAlta"/>
                <w:sz w:val="10"/>
              </w:rPr>
            </w:pPr>
          </w:p>
          <w:p w:rsidR="009365E4" w:rsidRDefault="00714B82" w:rsidP="009365E4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Thanks for your visualisations yesterday, I loved seeing pictures of these! </w:t>
            </w:r>
            <w:r w:rsidR="009365E4">
              <w:rPr>
                <w:rFonts w:ascii="OpenDyslexicAlta" w:hAnsi="OpenDyslexicAlta"/>
              </w:rPr>
              <w:t>Please spend some time today to catch up with your reading</w:t>
            </w:r>
            <w:r>
              <w:rPr>
                <w:rFonts w:ascii="OpenDyslexicAlta" w:hAnsi="OpenDyslexicAlta"/>
              </w:rPr>
              <w:t xml:space="preserve"> today if you haven’t done so already. When you are finished, can you please write a summary of what you have read so far? Remember, you can use Somebody Wanted But So Then if you feel that this approach works. Please complete this in your jotter </w:t>
            </w:r>
            <w:r w:rsidRPr="00714B82">
              <w:rPr>
                <w:rFonts w:ascii="OpenDyslexicAlta" w:hAnsi="OpenDyslexicAlta"/>
              </w:rPr>
              <w:sym w:font="Wingdings" w:char="F04A"/>
            </w:r>
            <w:r>
              <w:rPr>
                <w:rFonts w:ascii="OpenDyslexicAlta" w:hAnsi="OpenDyslexicAlta"/>
              </w:rPr>
              <w:t xml:space="preserve"> </w:t>
            </w:r>
          </w:p>
          <w:p w:rsidR="009365E4" w:rsidRDefault="009365E4" w:rsidP="009365E4">
            <w:pPr>
              <w:rPr>
                <w:rFonts w:ascii="OpenDyslexicAlta" w:hAnsi="OpenDyslexicAlta"/>
              </w:rPr>
            </w:pPr>
          </w:p>
          <w:p w:rsidR="009365E4" w:rsidRPr="003346ED" w:rsidRDefault="009365E4" w:rsidP="009365E4">
            <w:pPr>
              <w:jc w:val="center"/>
              <w:rPr>
                <w:rFonts w:ascii="OpenDyslexicAlta" w:hAnsi="OpenDyslexicAlta"/>
                <w:sz w:val="20"/>
              </w:rPr>
            </w:pPr>
            <w:r w:rsidRPr="003346ED">
              <w:rPr>
                <w:rFonts w:ascii="OpenDyslexicAlta" w:hAnsi="OpenDyslexicAlta"/>
                <w:sz w:val="20"/>
              </w:rPr>
              <w:t xml:space="preserve">Rowlings – </w:t>
            </w:r>
            <w:r>
              <w:rPr>
                <w:rFonts w:ascii="OpenDyslexicAlta" w:hAnsi="OpenDyslexicAlta"/>
                <w:sz w:val="20"/>
              </w:rPr>
              <w:t xml:space="preserve">page </w:t>
            </w:r>
            <w:r w:rsidR="008E55F0">
              <w:rPr>
                <w:rFonts w:ascii="OpenDyslexicAlta" w:hAnsi="OpenDyslexicAlta"/>
                <w:sz w:val="20"/>
              </w:rPr>
              <w:t>76</w:t>
            </w:r>
            <w:r>
              <w:rPr>
                <w:rFonts w:ascii="OpenDyslexicAlta" w:hAnsi="OpenDyslexicAlta"/>
                <w:sz w:val="20"/>
              </w:rPr>
              <w:t xml:space="preserve"> please</w:t>
            </w:r>
            <w:r w:rsidRPr="003346ED">
              <w:rPr>
                <w:rFonts w:ascii="OpenDyslexicAlta" w:hAnsi="OpenDyslexicAlta"/>
                <w:sz w:val="20"/>
              </w:rPr>
              <w:t xml:space="preserve"> </w:t>
            </w:r>
          </w:p>
          <w:p w:rsidR="009365E4" w:rsidRPr="003346ED" w:rsidRDefault="009365E4" w:rsidP="009365E4">
            <w:pPr>
              <w:jc w:val="center"/>
              <w:rPr>
                <w:rFonts w:ascii="OpenDyslexicAlta" w:hAnsi="OpenDyslexicAlta"/>
                <w:sz w:val="20"/>
              </w:rPr>
            </w:pPr>
            <w:r w:rsidRPr="003346ED">
              <w:rPr>
                <w:rFonts w:ascii="OpenDyslexicAlta" w:hAnsi="OpenDyslexicAlta"/>
                <w:sz w:val="20"/>
              </w:rPr>
              <w:t xml:space="preserve">Walliams and Dahls – </w:t>
            </w:r>
            <w:r>
              <w:rPr>
                <w:rFonts w:ascii="OpenDyslexicAlta" w:hAnsi="OpenDyslexicAlta"/>
                <w:sz w:val="20"/>
              </w:rPr>
              <w:t xml:space="preserve">page </w:t>
            </w:r>
            <w:r w:rsidR="008E55F0">
              <w:rPr>
                <w:rFonts w:ascii="OpenDyslexicAlta" w:hAnsi="OpenDyslexicAlta"/>
                <w:sz w:val="20"/>
              </w:rPr>
              <w:t>77</w:t>
            </w:r>
            <w:r>
              <w:rPr>
                <w:rFonts w:ascii="OpenDyslexicAlta" w:hAnsi="OpenDyslexicAlta"/>
                <w:sz w:val="20"/>
              </w:rPr>
              <w:t xml:space="preserve"> please</w:t>
            </w:r>
            <w:r w:rsidRPr="003346ED">
              <w:rPr>
                <w:rFonts w:ascii="OpenDyslexicAlta" w:hAnsi="OpenDyslexicAlta"/>
                <w:sz w:val="20"/>
              </w:rPr>
              <w:t xml:space="preserve"> </w:t>
            </w:r>
          </w:p>
          <w:p w:rsidR="009365E4" w:rsidRPr="003346ED" w:rsidRDefault="009365E4" w:rsidP="009365E4">
            <w:pPr>
              <w:jc w:val="center"/>
              <w:rPr>
                <w:rFonts w:ascii="OpenDyslexicAlta" w:hAnsi="OpenDyslexicAlta"/>
                <w:sz w:val="20"/>
              </w:rPr>
            </w:pPr>
            <w:r w:rsidRPr="003346ED">
              <w:rPr>
                <w:rFonts w:ascii="OpenDyslexicAlta" w:hAnsi="OpenDyslexicAlta"/>
                <w:sz w:val="20"/>
              </w:rPr>
              <w:t xml:space="preserve">Robins – </w:t>
            </w:r>
            <w:r w:rsidR="008E55F0">
              <w:rPr>
                <w:rFonts w:ascii="OpenDyslexicAlta" w:hAnsi="OpenDyslexicAlta"/>
                <w:sz w:val="20"/>
              </w:rPr>
              <w:t>end of the book</w:t>
            </w:r>
            <w:r>
              <w:rPr>
                <w:rFonts w:ascii="OpenDyslexicAlta" w:hAnsi="OpenDyslexicAlta"/>
                <w:sz w:val="20"/>
              </w:rPr>
              <w:t xml:space="preserve"> please</w:t>
            </w:r>
          </w:p>
          <w:p w:rsidR="009365E4" w:rsidRPr="003346ED" w:rsidRDefault="009365E4" w:rsidP="009365E4">
            <w:pPr>
              <w:jc w:val="center"/>
              <w:rPr>
                <w:rFonts w:ascii="OpenDyslexicAlta" w:hAnsi="OpenDyslexicAlta"/>
                <w:sz w:val="20"/>
              </w:rPr>
            </w:pPr>
            <w:proofErr w:type="spellStart"/>
            <w:r w:rsidRPr="003346ED">
              <w:rPr>
                <w:rFonts w:ascii="OpenDyslexicAlta" w:hAnsi="OpenDyslexicAlta"/>
                <w:sz w:val="20"/>
              </w:rPr>
              <w:t>Morpurgos</w:t>
            </w:r>
            <w:proofErr w:type="spellEnd"/>
            <w:r w:rsidRPr="003346ED">
              <w:rPr>
                <w:rFonts w:ascii="OpenDyslexicAlta" w:hAnsi="OpenDyslexicAlta"/>
                <w:sz w:val="20"/>
              </w:rPr>
              <w:t xml:space="preserve"> – </w:t>
            </w:r>
            <w:r>
              <w:rPr>
                <w:rFonts w:ascii="OpenDyslexicAlta" w:hAnsi="OpenDyslexicAlta"/>
                <w:sz w:val="20"/>
              </w:rPr>
              <w:t>end of the book please</w:t>
            </w:r>
          </w:p>
          <w:p w:rsidR="00ED64CF" w:rsidRDefault="009365E4" w:rsidP="00BA0151">
            <w:pPr>
              <w:rPr>
                <w:rFonts w:ascii="OpenDyslexicAlta" w:hAnsi="OpenDyslexicAlta"/>
                <w:sz w:val="24"/>
                <w:szCs w:val="24"/>
              </w:rPr>
            </w:pPr>
            <w:r w:rsidRPr="009365E4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FBC3E4C" wp14:editId="03AEBD3C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102235</wp:posOffset>
                  </wp:positionV>
                  <wp:extent cx="1057275" cy="647374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4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65E4" w:rsidRDefault="00BA0151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BA0151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Spelling </w:t>
            </w:r>
          </w:p>
          <w:p w:rsidR="009365E4" w:rsidRDefault="009365E4" w:rsidP="00BA0151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  <w:p w:rsidR="00BA0151" w:rsidRPr="009365E4" w:rsidRDefault="00714B82" w:rsidP="00BA015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Practise your chosen spelling words using an active strategy of your choice! Can it be one that you do outside?</w:t>
            </w:r>
          </w:p>
          <w:p w:rsidR="001B0331" w:rsidRPr="00BA0151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  <w:p w:rsidR="007F1805" w:rsidRPr="00C34BAE" w:rsidRDefault="00BA0151" w:rsidP="00BA0151">
            <w:pPr>
              <w:tabs>
                <w:tab w:val="left" w:pos="4410"/>
              </w:tabs>
              <w:rPr>
                <w:rFonts w:ascii="OpenDyslexicAlta" w:hAnsi="OpenDyslexicAlta"/>
                <w:sz w:val="12"/>
              </w:rPr>
            </w:pPr>
            <w:r>
              <w:rPr>
                <w:rFonts w:ascii="OpenDyslexicAlta" w:hAnsi="OpenDyslexicAlta"/>
                <w:sz w:val="12"/>
              </w:rPr>
              <w:tab/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7F1805" w:rsidRDefault="00A233B6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D46565">
              <w:rPr>
                <w:rFonts w:ascii="OpenDyslexicAlta" w:hAnsi="OpenDyslexicAlta"/>
                <w:sz w:val="24"/>
              </w:rPr>
              <w:t>Maths Home Learning</w:t>
            </w:r>
            <w:r w:rsidR="009365E4">
              <w:rPr>
                <w:rFonts w:ascii="OpenDyslexicAlta" w:hAnsi="OpenDyslexicAlta"/>
                <w:sz w:val="24"/>
              </w:rPr>
              <w:t>.</w:t>
            </w:r>
          </w:p>
          <w:p w:rsidR="00BA0151" w:rsidRDefault="008E55F0" w:rsidP="00A233B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38100</wp:posOffset>
                  </wp:positionV>
                  <wp:extent cx="1495425" cy="1241203"/>
                  <wp:effectExtent l="0" t="0" r="0" b="0"/>
                  <wp:wrapNone/>
                  <wp:docPr id="3" name="Picture 3" descr="Image result for math clipart transparent background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4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0151" w:rsidRDefault="00BA0151" w:rsidP="00A233B6">
            <w:pPr>
              <w:rPr>
                <w:rFonts w:ascii="OpenDyslexicAlta" w:hAnsi="OpenDyslexicAlta"/>
                <w:sz w:val="24"/>
              </w:rPr>
            </w:pPr>
          </w:p>
          <w:p w:rsidR="00ED64CF" w:rsidRDefault="00ED64CF" w:rsidP="00A233B6">
            <w:pPr>
              <w:rPr>
                <w:rFonts w:ascii="OpenDyslexicAlta" w:hAnsi="OpenDyslexicAlta"/>
                <w:sz w:val="24"/>
              </w:rPr>
            </w:pPr>
          </w:p>
          <w:p w:rsidR="007F1805" w:rsidRPr="00A233B6" w:rsidRDefault="007F1805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D96205" w:rsidTr="00BA0151">
        <w:trPr>
          <w:trHeight w:val="3393"/>
        </w:trPr>
        <w:tc>
          <w:tcPr>
            <w:tcW w:w="10456" w:type="dxa"/>
            <w:shd w:val="clear" w:color="auto" w:fill="C5E0B3" w:themeFill="accent6" w:themeFillTint="66"/>
          </w:tcPr>
          <w:p w:rsidR="00BA0151" w:rsidRDefault="00714B82" w:rsidP="00BA015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How was P.E. yesterday with Joe’s wife? Let me know and report progress with Mr Gordon </w:t>
            </w:r>
            <w:r w:rsidRPr="00714B82">
              <w:rPr>
                <w:rFonts w:ascii="OpenDyslexicAlta" w:hAnsi="OpenDyslexicAlta"/>
                <w:sz w:val="24"/>
              </w:rPr>
              <w:sym w:font="Wingdings" w:char="F04A"/>
            </w: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BA0151" w:rsidRDefault="00BA0151" w:rsidP="00BA0151">
            <w:pPr>
              <w:rPr>
                <w:rFonts w:ascii="OpenDyslexicAlta" w:hAnsi="OpenDyslexicAlta"/>
                <w:sz w:val="24"/>
              </w:rPr>
            </w:pPr>
          </w:p>
          <w:p w:rsidR="00BA0151" w:rsidRPr="006327AD" w:rsidRDefault="00714B82" w:rsidP="00BA0151">
            <w:pPr>
              <w:rPr>
                <w:rStyle w:val="Hyperlink"/>
              </w:rPr>
            </w:pPr>
            <w:hyperlink r:id="rId11" w:history="1">
              <w:r w:rsidR="00BA0151" w:rsidRPr="009D1150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BA0151" w:rsidRDefault="00BA0151" w:rsidP="00BA0151">
            <w:pPr>
              <w:rPr>
                <w:rFonts w:ascii="OpenDyslexicAlta" w:hAnsi="OpenDyslexicAlta"/>
                <w:sz w:val="24"/>
              </w:rPr>
            </w:pPr>
          </w:p>
          <w:p w:rsidR="009365E4" w:rsidRDefault="009365E4" w:rsidP="00BA015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Alternatively, try any of these workouts…</w:t>
            </w:r>
          </w:p>
          <w:p w:rsidR="009365E4" w:rsidRDefault="009365E4" w:rsidP="00BA0151">
            <w:pPr>
              <w:rPr>
                <w:rFonts w:ascii="OpenDyslexicAlta" w:hAnsi="OpenDyslexicAlta"/>
                <w:sz w:val="24"/>
              </w:rPr>
            </w:pPr>
          </w:p>
          <w:p w:rsidR="00C60752" w:rsidRPr="009365E4" w:rsidRDefault="00C74030" w:rsidP="00BA0151">
            <w:pPr>
              <w:rPr>
                <w:rStyle w:val="Hyperlink"/>
                <w:rFonts w:ascii="OpenDyslexicAlta" w:hAnsi="OpenDyslexicAlta"/>
                <w:sz w:val="24"/>
              </w:rPr>
            </w:pPr>
            <w:r w:rsidRPr="009365E4">
              <w:rPr>
                <w:rStyle w:val="Hyperlink"/>
              </w:rPr>
              <w:t xml:space="preserve"> </w:t>
            </w:r>
            <w:hyperlink r:id="rId12" w:history="1">
              <w:r w:rsidR="009365E4" w:rsidRPr="009365E4">
                <w:rPr>
                  <w:rStyle w:val="Hyperlink"/>
                  <w:rFonts w:ascii="OpenDyslexicAlta" w:hAnsi="OpenDyslexicAlta"/>
                  <w:sz w:val="24"/>
                </w:rPr>
                <w:t>https://www.youtube.com/watch?v=4ZpkRAcgws4</w:t>
              </w:r>
            </w:hyperlink>
          </w:p>
          <w:p w:rsidR="009365E4" w:rsidRDefault="00714B82" w:rsidP="00BA0151">
            <w:pPr>
              <w:rPr>
                <w:rStyle w:val="Hyperlink"/>
                <w:rFonts w:ascii="OpenDyslexicAlta" w:hAnsi="OpenDyslexicAlta"/>
                <w:sz w:val="24"/>
              </w:rPr>
            </w:pPr>
            <w:hyperlink r:id="rId13" w:history="1">
              <w:r w:rsidR="009365E4" w:rsidRPr="009365E4">
                <w:rPr>
                  <w:rStyle w:val="Hyperlink"/>
                  <w:rFonts w:ascii="OpenDyslexicAlta" w:hAnsi="OpenDyslexicAlta"/>
                  <w:sz w:val="24"/>
                </w:rPr>
                <w:t>https://www.youtube.com/watch?v=7OyVX9Rs1yU</w:t>
              </w:r>
            </w:hyperlink>
          </w:p>
          <w:p w:rsidR="009365E4" w:rsidRPr="00D96205" w:rsidRDefault="009365E4" w:rsidP="00BA0151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Other Curricular Areas </w:t>
            </w:r>
          </w:p>
        </w:tc>
      </w:tr>
      <w:tr w:rsidR="0073213B" w:rsidRPr="00D96205" w:rsidTr="00C34BAE">
        <w:trPr>
          <w:trHeight w:val="2361"/>
        </w:trPr>
        <w:tc>
          <w:tcPr>
            <w:tcW w:w="10456" w:type="dxa"/>
            <w:shd w:val="clear" w:color="auto" w:fill="FFFFA7"/>
          </w:tcPr>
          <w:p w:rsidR="00C74030" w:rsidRPr="00C74030" w:rsidRDefault="00C74030" w:rsidP="00C60752">
            <w:pPr>
              <w:rPr>
                <w:rFonts w:ascii="OpenDyslexicAlta" w:hAnsi="OpenDyslexicAlta"/>
                <w:sz w:val="24"/>
                <w:u w:val="single"/>
              </w:rPr>
            </w:pPr>
            <w:r w:rsidRPr="00C74030">
              <w:rPr>
                <w:rFonts w:ascii="OpenDyslexicAlta" w:hAnsi="OpenDyslexicAlta"/>
                <w:sz w:val="24"/>
                <w:u w:val="single"/>
              </w:rPr>
              <w:t xml:space="preserve">IDL </w:t>
            </w:r>
          </w:p>
          <w:p w:rsidR="00C74030" w:rsidRDefault="00C74030" w:rsidP="00C60752">
            <w:pPr>
              <w:rPr>
                <w:rFonts w:ascii="OpenDyslexicAlta" w:hAnsi="OpenDyslexicAlta"/>
                <w:sz w:val="24"/>
              </w:rPr>
            </w:pPr>
          </w:p>
          <w:p w:rsidR="00C74030" w:rsidRDefault="00714B82" w:rsidP="00C60752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Please continue with yesterday’s IDL task</w:t>
            </w:r>
            <w:r w:rsidR="0021165C">
              <w:rPr>
                <w:rFonts w:ascii="OpenDyslexicAlta" w:hAnsi="OpenDyslexicAlta"/>
                <w:sz w:val="24"/>
              </w:rPr>
              <w:t>.</w:t>
            </w:r>
            <w:r>
              <w:rPr>
                <w:rFonts w:ascii="OpenDyslexicAlta" w:hAnsi="OpenDyslexicAlta"/>
                <w:sz w:val="24"/>
              </w:rPr>
              <w:t xml:space="preserve"> It was almost a three part activity (Research, note-taking and talking and listening skills) so please take until Wednesday to get this finished. </w:t>
            </w:r>
          </w:p>
          <w:p w:rsidR="00C60752" w:rsidRPr="00714B82" w:rsidRDefault="00C60752" w:rsidP="00C60752">
            <w:pPr>
              <w:rPr>
                <w:rFonts w:ascii="OpenDyslexicAlta" w:hAnsi="OpenDyslexicAlta"/>
                <w:sz w:val="12"/>
              </w:rPr>
            </w:pPr>
          </w:p>
          <w:p w:rsidR="00C60752" w:rsidRPr="00C60752" w:rsidRDefault="00714B82" w:rsidP="00C60752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>Art</w:t>
            </w:r>
          </w:p>
          <w:p w:rsidR="00C60752" w:rsidRDefault="00C60752" w:rsidP="00C60752">
            <w:pPr>
              <w:rPr>
                <w:rFonts w:ascii="OpenDyslexicAlta" w:hAnsi="OpenDyslexicAlta"/>
                <w:b/>
                <w:sz w:val="24"/>
              </w:rPr>
            </w:pPr>
          </w:p>
          <w:p w:rsidR="00714B82" w:rsidRDefault="00714B82" w:rsidP="00086FF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 xml:space="preserve">Can you find 5 objects around the house and draw around these? These examples are in black and white but feel free to add any colour that you wish! </w:t>
            </w:r>
          </w:p>
          <w:p w:rsidR="00714B82" w:rsidRDefault="00714B82" w:rsidP="00086FFB">
            <w:pPr>
              <w:rPr>
                <w:rFonts w:ascii="OpenDyslexicAlta" w:hAnsi="OpenDyslexicAlta"/>
              </w:rPr>
            </w:pPr>
          </w:p>
          <w:p w:rsidR="00714B82" w:rsidRDefault="00714B82" w:rsidP="00086FFB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3862070</wp:posOffset>
                  </wp:positionH>
                  <wp:positionV relativeFrom="paragraph">
                    <wp:posOffset>136950</wp:posOffset>
                  </wp:positionV>
                  <wp:extent cx="2394295" cy="295275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29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4B82" w:rsidRDefault="00714B82" w:rsidP="00086FFB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206375</wp:posOffset>
                  </wp:positionV>
                  <wp:extent cx="3019425" cy="2642885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64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4B82" w:rsidRDefault="00714B82" w:rsidP="00086FFB">
            <w:pPr>
              <w:rPr>
                <w:rFonts w:ascii="OpenDyslexicAlta" w:hAnsi="OpenDyslexicAlta"/>
              </w:rPr>
            </w:pPr>
          </w:p>
          <w:p w:rsidR="00714B82" w:rsidRDefault="00714B82" w:rsidP="00086FFB">
            <w:pPr>
              <w:rPr>
                <w:rFonts w:ascii="OpenDyslexicAlta" w:hAnsi="OpenDyslexicAlta"/>
              </w:rPr>
            </w:pPr>
          </w:p>
          <w:p w:rsidR="00714B82" w:rsidRDefault="00714B82" w:rsidP="00086FFB">
            <w:pPr>
              <w:rPr>
                <w:rFonts w:ascii="OpenDyslexicAlta" w:hAnsi="OpenDyslexicAlta"/>
              </w:rPr>
            </w:pPr>
          </w:p>
          <w:p w:rsidR="00714B82" w:rsidRDefault="00714B82" w:rsidP="00086FFB">
            <w:pPr>
              <w:rPr>
                <w:rFonts w:ascii="OpenDyslexicAlta" w:hAnsi="OpenDyslexicAlt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51395</wp:posOffset>
                  </wp:positionV>
                  <wp:extent cx="985207" cy="1819275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07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4B82" w:rsidRDefault="00714B82" w:rsidP="00086FFB">
            <w:pPr>
              <w:rPr>
                <w:rFonts w:ascii="OpenDyslexicAlta" w:hAnsi="OpenDyslexicAlta"/>
              </w:rPr>
            </w:pPr>
          </w:p>
          <w:p w:rsidR="00714B82" w:rsidRDefault="00714B82" w:rsidP="00086FFB">
            <w:pPr>
              <w:rPr>
                <w:rFonts w:ascii="OpenDyslexicAlta" w:hAnsi="OpenDyslexicAlta"/>
              </w:rPr>
            </w:pPr>
          </w:p>
          <w:p w:rsidR="00714B82" w:rsidRDefault="00714B82" w:rsidP="00086FFB">
            <w:pPr>
              <w:rPr>
                <w:rFonts w:ascii="OpenDyslexicAlta" w:hAnsi="OpenDyslexicAlta"/>
              </w:rPr>
            </w:pPr>
          </w:p>
          <w:p w:rsidR="00714B82" w:rsidRDefault="00714B82" w:rsidP="00086FFB">
            <w:pPr>
              <w:rPr>
                <w:rFonts w:ascii="OpenDyslexicAlta" w:hAnsi="OpenDyslexicAlta"/>
              </w:rPr>
            </w:pPr>
          </w:p>
          <w:p w:rsidR="00714B82" w:rsidRDefault="00714B82" w:rsidP="00086FFB">
            <w:pPr>
              <w:rPr>
                <w:rFonts w:ascii="OpenDyslexicAlta" w:hAnsi="OpenDyslexicAlta"/>
              </w:rPr>
            </w:pPr>
          </w:p>
          <w:p w:rsidR="00714B82" w:rsidRDefault="00714B82" w:rsidP="00086FFB">
            <w:pPr>
              <w:rPr>
                <w:rFonts w:ascii="OpenDyslexicAlta" w:hAnsi="OpenDyslexicAlta"/>
              </w:rPr>
            </w:pPr>
          </w:p>
          <w:p w:rsidR="00714B82" w:rsidRDefault="00714B82" w:rsidP="00086FFB">
            <w:pPr>
              <w:rPr>
                <w:rFonts w:ascii="OpenDyslexicAlta" w:hAnsi="OpenDyslexicAlta"/>
              </w:rPr>
            </w:pPr>
          </w:p>
          <w:p w:rsidR="00714B82" w:rsidRPr="00987678" w:rsidRDefault="00714B82" w:rsidP="00714B82">
            <w:pPr>
              <w:rPr>
                <w:rFonts w:ascii="OpenDyslexicAlta" w:hAnsi="OpenDyslexicAlta"/>
                <w:sz w:val="12"/>
              </w:rPr>
            </w:pPr>
          </w:p>
        </w:tc>
        <w:bookmarkStart w:id="0" w:name="_GoBack"/>
        <w:bookmarkEnd w:id="0"/>
      </w:tr>
    </w:tbl>
    <w:p w:rsidR="0099677E" w:rsidRPr="00987678" w:rsidRDefault="0099677E" w:rsidP="007929AC">
      <w:pPr>
        <w:rPr>
          <w:rFonts w:ascii="OpenDyslexicAlta" w:hAnsi="OpenDyslexicAlta"/>
          <w:sz w:val="14"/>
        </w:rPr>
      </w:pP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086FFB"/>
    <w:rsid w:val="0011426C"/>
    <w:rsid w:val="001A5F13"/>
    <w:rsid w:val="001A7C6A"/>
    <w:rsid w:val="001B0331"/>
    <w:rsid w:val="001D08C6"/>
    <w:rsid w:val="001E1171"/>
    <w:rsid w:val="001E4912"/>
    <w:rsid w:val="0021165C"/>
    <w:rsid w:val="0031099C"/>
    <w:rsid w:val="003346ED"/>
    <w:rsid w:val="00344638"/>
    <w:rsid w:val="003478A4"/>
    <w:rsid w:val="00364A47"/>
    <w:rsid w:val="00406C76"/>
    <w:rsid w:val="00433BDF"/>
    <w:rsid w:val="00496E77"/>
    <w:rsid w:val="004B101E"/>
    <w:rsid w:val="00505C06"/>
    <w:rsid w:val="0050714E"/>
    <w:rsid w:val="00544D17"/>
    <w:rsid w:val="00591FB1"/>
    <w:rsid w:val="005B155F"/>
    <w:rsid w:val="005C3B50"/>
    <w:rsid w:val="005E4C31"/>
    <w:rsid w:val="00607506"/>
    <w:rsid w:val="006327AD"/>
    <w:rsid w:val="00675D3E"/>
    <w:rsid w:val="006D3BFC"/>
    <w:rsid w:val="00714B82"/>
    <w:rsid w:val="0073213B"/>
    <w:rsid w:val="007929AC"/>
    <w:rsid w:val="007F1805"/>
    <w:rsid w:val="008A7208"/>
    <w:rsid w:val="008D742D"/>
    <w:rsid w:val="008E55F0"/>
    <w:rsid w:val="009365E4"/>
    <w:rsid w:val="00987678"/>
    <w:rsid w:val="0099677E"/>
    <w:rsid w:val="00A233B6"/>
    <w:rsid w:val="00A72922"/>
    <w:rsid w:val="00B4669A"/>
    <w:rsid w:val="00B917FD"/>
    <w:rsid w:val="00BA0151"/>
    <w:rsid w:val="00BA7C13"/>
    <w:rsid w:val="00C3411A"/>
    <w:rsid w:val="00C34BAE"/>
    <w:rsid w:val="00C60752"/>
    <w:rsid w:val="00C74030"/>
    <w:rsid w:val="00D46565"/>
    <w:rsid w:val="00D96205"/>
    <w:rsid w:val="00DF0587"/>
    <w:rsid w:val="00ED64CF"/>
    <w:rsid w:val="00F37A9E"/>
    <w:rsid w:val="00F5303B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7OyVX9Rs1y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2" Type="http://schemas.openxmlformats.org/officeDocument/2006/relationships/hyperlink" Target="https://www.youtube.com/watch?v=4ZpkRAcgws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oC0eUSm-pc" TargetMode="External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2</cp:revision>
  <dcterms:created xsi:type="dcterms:W3CDTF">2020-05-05T07:39:00Z</dcterms:created>
  <dcterms:modified xsi:type="dcterms:W3CDTF">2020-05-05T07:39:00Z</dcterms:modified>
</cp:coreProperties>
</file>