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51D2F" w14:textId="489801BF" w:rsidR="00F62D12" w:rsidRDefault="00A30EA7" w:rsidP="00F62D12">
      <w:pPr>
        <w:jc w:val="center"/>
        <w:rPr>
          <w:rFonts w:ascii="Lucida Calligraphy" w:hAnsi="Lucida Calligraphy"/>
          <w:bCs/>
          <w:sz w:val="32"/>
          <w:szCs w:val="32"/>
        </w:rPr>
      </w:pPr>
      <w:r>
        <w:rPr>
          <w:rFonts w:ascii="Lucida Calligraphy" w:hAnsi="Lucida Calligraphy"/>
          <w:bCs/>
          <w:noProof/>
          <w:sz w:val="32"/>
          <w:szCs w:val="32"/>
          <w:lang w:eastAsia="en-GB"/>
        </w:rPr>
        <w:drawing>
          <wp:inline distT="0" distB="0" distL="0" distR="0" wp14:anchorId="0A87EB36" wp14:editId="75ACF649">
            <wp:extent cx="960203" cy="10516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dge.png"/>
                    <pic:cNvPicPr/>
                  </pic:nvPicPr>
                  <pic:blipFill>
                    <a:blip r:embed="rId8">
                      <a:extLst>
                        <a:ext uri="{28A0092B-C50C-407E-A947-70E740481C1C}">
                          <a14:useLocalDpi xmlns:a14="http://schemas.microsoft.com/office/drawing/2010/main" val="0"/>
                        </a:ext>
                      </a:extLst>
                    </a:blip>
                    <a:stretch>
                      <a:fillRect/>
                    </a:stretch>
                  </pic:blipFill>
                  <pic:spPr>
                    <a:xfrm>
                      <a:off x="0" y="0"/>
                      <a:ext cx="960203" cy="1051651"/>
                    </a:xfrm>
                    <a:prstGeom prst="rect">
                      <a:avLst/>
                    </a:prstGeom>
                  </pic:spPr>
                </pic:pic>
              </a:graphicData>
            </a:graphic>
          </wp:inline>
        </w:drawing>
      </w:r>
    </w:p>
    <w:p w14:paraId="75F39A7F" w14:textId="77777777" w:rsidR="00F44594" w:rsidRDefault="00F44594" w:rsidP="00A30EA7">
      <w:pPr>
        <w:rPr>
          <w:b/>
          <w:bCs/>
          <w:sz w:val="24"/>
        </w:rPr>
      </w:pPr>
    </w:p>
    <w:p w14:paraId="29104B13" w14:textId="47EE0A6B" w:rsidR="00F44594" w:rsidRPr="00A30EA7" w:rsidRDefault="00A30EA7" w:rsidP="00F33791">
      <w:pPr>
        <w:jc w:val="center"/>
        <w:rPr>
          <w:b/>
          <w:bCs/>
          <w:sz w:val="40"/>
          <w:szCs w:val="40"/>
        </w:rPr>
      </w:pPr>
      <w:r w:rsidRPr="00A30EA7">
        <w:rPr>
          <w:b/>
          <w:bCs/>
          <w:sz w:val="40"/>
          <w:szCs w:val="40"/>
        </w:rPr>
        <w:t>Uplawmoor Primary School</w:t>
      </w:r>
    </w:p>
    <w:p w14:paraId="711CE3F4" w14:textId="77777777" w:rsidR="00F44594" w:rsidRDefault="00F44594" w:rsidP="00F33791">
      <w:pPr>
        <w:jc w:val="center"/>
        <w:rPr>
          <w:b/>
          <w:bCs/>
          <w:sz w:val="24"/>
        </w:rPr>
      </w:pPr>
    </w:p>
    <w:p w14:paraId="7C61EF7D" w14:textId="77777777" w:rsidR="00F62D12" w:rsidRDefault="0036791E" w:rsidP="00F33791">
      <w:pPr>
        <w:jc w:val="center"/>
        <w:rPr>
          <w:b/>
          <w:bCs/>
          <w:sz w:val="40"/>
        </w:rPr>
      </w:pPr>
      <w:commentRangeStart w:id="0"/>
      <w:r>
        <w:rPr>
          <w:b/>
          <w:bCs/>
          <w:sz w:val="40"/>
        </w:rPr>
        <w:t>Numeracy and Maths Policy</w:t>
      </w:r>
      <w:commentRangeEnd w:id="0"/>
      <w:r w:rsidR="004C6917">
        <w:rPr>
          <w:rStyle w:val="CommentReference"/>
        </w:rPr>
        <w:commentReference w:id="0"/>
      </w:r>
    </w:p>
    <w:p w14:paraId="542D8552" w14:textId="77777777" w:rsidR="005E1199" w:rsidRPr="00F44594" w:rsidRDefault="005E1199" w:rsidP="00F33791">
      <w:pPr>
        <w:jc w:val="center"/>
        <w:rPr>
          <w:sz w:val="48"/>
          <w:szCs w:val="32"/>
        </w:rPr>
      </w:pPr>
    </w:p>
    <w:p w14:paraId="71607ED1" w14:textId="77777777" w:rsidR="00761BB0" w:rsidRPr="00A30EA7" w:rsidRDefault="00761BB0" w:rsidP="00761BB0">
      <w:pPr>
        <w:spacing w:after="200" w:line="276" w:lineRule="auto"/>
        <w:rPr>
          <w:rFonts w:eastAsiaTheme="minorHAnsi" w:cs="Arial"/>
          <w:b/>
          <w:color w:val="7F7F7F" w:themeColor="text1" w:themeTint="80"/>
          <w:sz w:val="24"/>
        </w:rPr>
      </w:pPr>
      <w:r w:rsidRPr="00A30EA7">
        <w:rPr>
          <w:rFonts w:eastAsiaTheme="minorHAnsi" w:cs="Arial"/>
          <w:b/>
          <w:color w:val="7F7F7F" w:themeColor="text1" w:themeTint="80"/>
          <w:sz w:val="24"/>
        </w:rPr>
        <w:t>Rationale</w:t>
      </w:r>
    </w:p>
    <w:p w14:paraId="1DEE0493" w14:textId="77777777" w:rsidR="00D16063" w:rsidRPr="00A30EA7" w:rsidRDefault="00D16063" w:rsidP="00D16063">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 xml:space="preserve">“Mathematics is important in our everyday life, allowing us to make sense of the world around us and to manage our lives. Using mathematics enables us to model real-life situations and make connections and informed predictions. It equips us with the skills we need to interpret and analyse information, simplify and solve problems, assess risk and make informed decisions.” </w:t>
      </w:r>
    </w:p>
    <w:p w14:paraId="4F323D90" w14:textId="77777777" w:rsidR="00D16063" w:rsidRPr="00A30EA7" w:rsidRDefault="00D16063" w:rsidP="00D16063">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(Scottish Government, online)</w:t>
      </w:r>
    </w:p>
    <w:p w14:paraId="5570A610" w14:textId="77777777" w:rsidR="00C847C8" w:rsidRPr="00A30EA7" w:rsidRDefault="00C847C8" w:rsidP="00D16063">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In 2016, the Making Maths Count Group set out their intention to turn Scotland into a maths positive nation. This was in response to their research which showed that, as a country, we are too happy to label ourselves as “no good with numbers”, and this attitude is holding back real progress.</w:t>
      </w:r>
    </w:p>
    <w:p w14:paraId="5D9F8B1A" w14:textId="77777777" w:rsidR="00C847C8" w:rsidRPr="00A30EA7" w:rsidRDefault="00C847C8" w:rsidP="00761BB0">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Additionally, improving attainment, particularly in literacy and numeracy along with closing the attainment gap between the most and least disadvantaged children and young people are fundamental priorities for Scottish Education. The paper Advancing Excellence and Equity in Education in East Renfrewshire recognises the similarities between ERC and national priorities, and the ethos in the authority of continuous improvement. As a result, our emphasis must be to build on our current strengths, raising the bar for all learners, whilst at the same time, ensuring we improve the attainment of particular groups of children and young people, who experience disadvantage.</w:t>
      </w:r>
    </w:p>
    <w:p w14:paraId="4CA855BD" w14:textId="77777777" w:rsidR="00761BB0" w:rsidRPr="00A30EA7" w:rsidRDefault="00761BB0" w:rsidP="00761BB0">
      <w:pPr>
        <w:spacing w:after="200" w:line="276" w:lineRule="auto"/>
        <w:rPr>
          <w:rFonts w:eastAsiaTheme="minorHAnsi" w:cs="Arial"/>
          <w:b/>
          <w:color w:val="7F7F7F" w:themeColor="text1" w:themeTint="80"/>
          <w:sz w:val="24"/>
        </w:rPr>
      </w:pPr>
      <w:r w:rsidRPr="00A30EA7">
        <w:rPr>
          <w:rFonts w:eastAsiaTheme="minorHAnsi" w:cs="Arial"/>
          <w:b/>
          <w:color w:val="7F7F7F" w:themeColor="text1" w:themeTint="80"/>
          <w:sz w:val="24"/>
        </w:rPr>
        <w:t>Our Vision</w:t>
      </w:r>
    </w:p>
    <w:p w14:paraId="70EDFFB6" w14:textId="77777777" w:rsidR="00C847C8" w:rsidRPr="00A30EA7" w:rsidRDefault="00C847C8" w:rsidP="00C847C8">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 xml:space="preserve">In the context of numeracy and mathematics we need to ensure all children and young people develop the numeracy and mathematics skills they need to be successful throughout life. However the vision also challenges all involved to make mathematics more inspiring, enjoyable and relevant to real life work, and in doing so ‘help to create greater enthusiasm, encourage greater participation and raise attainment’. </w:t>
      </w:r>
    </w:p>
    <w:p w14:paraId="7577D0F7" w14:textId="77777777" w:rsidR="00761BB0" w:rsidRPr="00A30EA7" w:rsidRDefault="00761BB0" w:rsidP="00C847C8">
      <w:pPr>
        <w:spacing w:after="200" w:line="276" w:lineRule="auto"/>
        <w:rPr>
          <w:rFonts w:eastAsiaTheme="minorHAnsi" w:cs="Arial"/>
          <w:color w:val="7F7F7F" w:themeColor="text1" w:themeTint="80"/>
          <w:sz w:val="24"/>
        </w:rPr>
      </w:pPr>
      <w:r w:rsidRPr="00A30EA7">
        <w:rPr>
          <w:rFonts w:eastAsiaTheme="minorHAnsi" w:cs="Arial"/>
          <w:b/>
          <w:color w:val="7F7F7F" w:themeColor="text1" w:themeTint="80"/>
          <w:sz w:val="24"/>
        </w:rPr>
        <w:t>Our Values and Principles</w:t>
      </w:r>
    </w:p>
    <w:p w14:paraId="10988AA5" w14:textId="77777777" w:rsidR="00783B37" w:rsidRPr="00A30EA7" w:rsidRDefault="000A3A8B" w:rsidP="002C61F4">
      <w:pPr>
        <w:spacing w:after="200" w:line="276" w:lineRule="auto"/>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It is vital that we provide young people with the skills they need to navigate the world successfully, fairly and responsibly: </w:t>
      </w:r>
      <w:r w:rsidR="0036791E" w:rsidRPr="00A30EA7">
        <w:rPr>
          <w:rFonts w:eastAsiaTheme="minorHAnsi" w:cs="Arial"/>
          <w:color w:val="7F7F7F" w:themeColor="text1" w:themeTint="80"/>
          <w:sz w:val="24"/>
        </w:rPr>
        <w:t xml:space="preserve">“Being numerate helps us to function responsibly in everyday life and contribute effectively to society” (Education Scotland, online). </w:t>
      </w:r>
      <w:r w:rsidR="00261FD2" w:rsidRPr="00A30EA7">
        <w:rPr>
          <w:rFonts w:eastAsiaTheme="minorHAnsi" w:cs="Arial"/>
          <w:color w:val="7F7F7F" w:themeColor="text1" w:themeTint="80"/>
          <w:sz w:val="24"/>
        </w:rPr>
        <w:t>As outlined in the United Nations Convention on the Rights of the Child (UN</w:t>
      </w:r>
      <w:r w:rsidRPr="00A30EA7">
        <w:rPr>
          <w:rFonts w:eastAsiaTheme="minorHAnsi" w:cs="Arial"/>
          <w:color w:val="7F7F7F" w:themeColor="text1" w:themeTint="80"/>
          <w:sz w:val="24"/>
        </w:rPr>
        <w:t>CRC) children are entitled to a quality</w:t>
      </w:r>
      <w:r w:rsidR="00261FD2" w:rsidRPr="00A30EA7">
        <w:rPr>
          <w:rFonts w:eastAsiaTheme="minorHAnsi" w:cs="Arial"/>
          <w:color w:val="7F7F7F" w:themeColor="text1" w:themeTint="80"/>
          <w:sz w:val="24"/>
        </w:rPr>
        <w:t xml:space="preserve"> education that </w:t>
      </w:r>
      <w:r w:rsidR="00261FD2" w:rsidRPr="00A30EA7">
        <w:rPr>
          <w:rFonts w:eastAsiaTheme="minorHAnsi" w:cs="Arial"/>
          <w:color w:val="7F7F7F" w:themeColor="text1" w:themeTint="80"/>
          <w:sz w:val="24"/>
        </w:rPr>
        <w:lastRenderedPageBreak/>
        <w:t xml:space="preserve">fully develops their talents and interests. Our </w:t>
      </w:r>
      <w:r w:rsidRPr="00A30EA7">
        <w:rPr>
          <w:rFonts w:eastAsiaTheme="minorHAnsi" w:cs="Arial"/>
          <w:color w:val="7F7F7F" w:themeColor="text1" w:themeTint="80"/>
          <w:sz w:val="24"/>
        </w:rPr>
        <w:t>numeracy and maths policy</w:t>
      </w:r>
      <w:r w:rsidR="00261FD2" w:rsidRPr="00A30EA7">
        <w:rPr>
          <w:rFonts w:eastAsiaTheme="minorHAnsi" w:cs="Arial"/>
          <w:color w:val="7F7F7F" w:themeColor="text1" w:themeTint="80"/>
          <w:sz w:val="24"/>
        </w:rPr>
        <w:t xml:space="preserve"> is underpinned by a com</w:t>
      </w:r>
      <w:r w:rsidRPr="00A30EA7">
        <w:rPr>
          <w:rFonts w:eastAsiaTheme="minorHAnsi" w:cs="Arial"/>
          <w:color w:val="7F7F7F" w:themeColor="text1" w:themeTint="80"/>
          <w:sz w:val="24"/>
        </w:rPr>
        <w:t>mitment to children’s rights,</w:t>
      </w:r>
      <w:r w:rsidR="00261FD2" w:rsidRPr="00A30EA7">
        <w:rPr>
          <w:rFonts w:eastAsiaTheme="minorHAnsi" w:cs="Arial"/>
          <w:color w:val="7F7F7F" w:themeColor="text1" w:themeTint="80"/>
          <w:sz w:val="24"/>
        </w:rPr>
        <w:t xml:space="preserve"> wellbeing</w:t>
      </w:r>
      <w:r w:rsidRPr="00A30EA7">
        <w:rPr>
          <w:rFonts w:eastAsiaTheme="minorHAnsi" w:cs="Arial"/>
          <w:color w:val="7F7F7F" w:themeColor="text1" w:themeTint="80"/>
          <w:sz w:val="24"/>
        </w:rPr>
        <w:t xml:space="preserve"> and learning by providing suitable support and challenge to learners, engaging their interests and ensuring appropriate pace and coverage of skills</w:t>
      </w:r>
      <w:r w:rsidR="00FD7B80" w:rsidRPr="00A30EA7">
        <w:rPr>
          <w:rFonts w:eastAsiaTheme="minorHAnsi" w:cs="Arial"/>
          <w:color w:val="7F7F7F" w:themeColor="text1" w:themeTint="80"/>
          <w:sz w:val="24"/>
        </w:rPr>
        <w:t xml:space="preserve">. All children have the right to an inclusive education that ensures equity as far as possible in terms of social background, race, gender and disability (Article 2, UNCRC). </w:t>
      </w:r>
    </w:p>
    <w:p w14:paraId="470B999B" w14:textId="77777777" w:rsidR="00FD7B80" w:rsidRPr="00A30EA7" w:rsidRDefault="00FD7B80" w:rsidP="00761BB0">
      <w:pPr>
        <w:spacing w:after="200" w:line="276" w:lineRule="auto"/>
        <w:rPr>
          <w:rFonts w:eastAsiaTheme="minorHAnsi" w:cs="Arial"/>
          <w:b/>
          <w:color w:val="7F7F7F" w:themeColor="text1" w:themeTint="80"/>
          <w:sz w:val="24"/>
        </w:rPr>
      </w:pPr>
      <w:r w:rsidRPr="00A30EA7">
        <w:rPr>
          <w:rFonts w:eastAsiaTheme="minorHAnsi" w:cs="Arial"/>
          <w:b/>
          <w:color w:val="7F7F7F" w:themeColor="text1" w:themeTint="80"/>
          <w:sz w:val="24"/>
        </w:rPr>
        <w:t>Our Objectives and Aims</w:t>
      </w:r>
    </w:p>
    <w:p w14:paraId="2310BBF5" w14:textId="77777777" w:rsidR="00FD7B80" w:rsidRPr="00A30EA7" w:rsidRDefault="00FD7B80" w:rsidP="000A3A8B">
      <w:pPr>
        <w:spacing w:after="200" w:line="276" w:lineRule="auto"/>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Our </w:t>
      </w:r>
      <w:r w:rsidR="000A3A8B" w:rsidRPr="00A30EA7">
        <w:rPr>
          <w:rFonts w:eastAsiaTheme="minorHAnsi" w:cs="Arial"/>
          <w:color w:val="7F7F7F" w:themeColor="text1" w:themeTint="80"/>
          <w:sz w:val="24"/>
        </w:rPr>
        <w:t>six key aims</w:t>
      </w:r>
      <w:r w:rsidR="00966501" w:rsidRPr="00A30EA7">
        <w:rPr>
          <w:rFonts w:eastAsiaTheme="minorHAnsi" w:cs="Arial"/>
          <w:color w:val="7F7F7F" w:themeColor="text1" w:themeTint="80"/>
          <w:sz w:val="24"/>
        </w:rPr>
        <w:t xml:space="preserve"> come directly from </w:t>
      </w:r>
      <w:r w:rsidR="000A3A8B" w:rsidRPr="00A30EA7">
        <w:rPr>
          <w:rFonts w:eastAsiaTheme="minorHAnsi" w:cs="Arial"/>
          <w:color w:val="7F7F7F" w:themeColor="text1" w:themeTint="80"/>
          <w:sz w:val="24"/>
        </w:rPr>
        <w:t>East Renfrewshire Education Department’s Numeracy and Mathematics Strategy 2018-2021</w:t>
      </w:r>
      <w:r w:rsidR="00966501" w:rsidRPr="00A30EA7">
        <w:rPr>
          <w:rFonts w:eastAsiaTheme="minorHAnsi" w:cs="Arial"/>
          <w:color w:val="7F7F7F" w:themeColor="text1" w:themeTint="80"/>
          <w:sz w:val="24"/>
        </w:rPr>
        <w:t xml:space="preserve"> </w:t>
      </w:r>
      <w:r w:rsidRPr="00A30EA7">
        <w:rPr>
          <w:rFonts w:eastAsiaTheme="minorHAnsi" w:cs="Arial"/>
          <w:color w:val="7F7F7F" w:themeColor="text1" w:themeTint="80"/>
          <w:sz w:val="24"/>
        </w:rPr>
        <w:t>(</w:t>
      </w:r>
      <w:r w:rsidR="000A3A8B" w:rsidRPr="00A30EA7">
        <w:rPr>
          <w:rFonts w:eastAsiaTheme="minorHAnsi" w:cs="Arial"/>
          <w:color w:val="7F7F7F" w:themeColor="text1" w:themeTint="80"/>
          <w:sz w:val="24"/>
        </w:rPr>
        <w:t>ERC</w:t>
      </w:r>
      <w:r w:rsidRPr="00A30EA7">
        <w:rPr>
          <w:rFonts w:eastAsiaTheme="minorHAnsi" w:cs="Arial"/>
          <w:color w:val="7F7F7F" w:themeColor="text1" w:themeTint="80"/>
          <w:sz w:val="24"/>
        </w:rPr>
        <w:t>, 20</w:t>
      </w:r>
      <w:r w:rsidR="000A3A8B" w:rsidRPr="00A30EA7">
        <w:rPr>
          <w:rFonts w:eastAsiaTheme="minorHAnsi" w:cs="Arial"/>
          <w:color w:val="7F7F7F" w:themeColor="text1" w:themeTint="80"/>
          <w:sz w:val="24"/>
        </w:rPr>
        <w:t>18: 4</w:t>
      </w:r>
      <w:r w:rsidRPr="00A30EA7">
        <w:rPr>
          <w:rFonts w:eastAsiaTheme="minorHAnsi" w:cs="Arial"/>
          <w:color w:val="7F7F7F" w:themeColor="text1" w:themeTint="80"/>
          <w:sz w:val="24"/>
        </w:rPr>
        <w:t>).</w:t>
      </w:r>
    </w:p>
    <w:p w14:paraId="54076804" w14:textId="77777777" w:rsidR="00FD7B80" w:rsidRPr="00A30EA7" w:rsidRDefault="00966501" w:rsidP="00FD7B80">
      <w:pPr>
        <w:spacing w:after="200" w:line="276" w:lineRule="auto"/>
        <w:rPr>
          <w:rFonts w:eastAsiaTheme="minorHAnsi" w:cs="Arial"/>
          <w:b/>
          <w:color w:val="7F7F7F" w:themeColor="text1" w:themeTint="80"/>
          <w:sz w:val="24"/>
        </w:rPr>
      </w:pPr>
      <w:r w:rsidRPr="00A30EA7">
        <w:rPr>
          <w:rFonts w:eastAsiaTheme="minorHAnsi" w:cs="Arial"/>
          <w:b/>
          <w:color w:val="7F7F7F" w:themeColor="text1" w:themeTint="80"/>
          <w:sz w:val="24"/>
        </w:rPr>
        <w:t>Aims</w:t>
      </w:r>
      <w:r w:rsidR="00FD7B80" w:rsidRPr="00A30EA7">
        <w:rPr>
          <w:rFonts w:eastAsiaTheme="minorHAnsi" w:cs="Arial"/>
          <w:b/>
          <w:color w:val="7F7F7F" w:themeColor="text1" w:themeTint="80"/>
          <w:sz w:val="24"/>
        </w:rPr>
        <w:t>:</w:t>
      </w:r>
    </w:p>
    <w:p w14:paraId="3B2E3C44" w14:textId="77777777" w:rsidR="000A3A8B" w:rsidRPr="00A30EA7" w:rsidRDefault="000A3A8B" w:rsidP="000A3A8B">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To improve:</w:t>
      </w:r>
    </w:p>
    <w:p w14:paraId="77CADC3C" w14:textId="77777777" w:rsidR="000A3A8B" w:rsidRPr="00A30EA7" w:rsidRDefault="000A3A8B" w:rsidP="000A3A8B">
      <w:pPr>
        <w:pStyle w:val="ListParagraph"/>
        <w:numPr>
          <w:ilvl w:val="0"/>
          <w:numId w:val="38"/>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outcomes and reduce inequalities in numeracy &amp; mathematics development;</w:t>
      </w:r>
    </w:p>
    <w:p w14:paraId="3C6FDA57" w14:textId="77777777" w:rsidR="000A3A8B" w:rsidRPr="00A30EA7" w:rsidRDefault="000A3A8B" w:rsidP="000A3A8B">
      <w:pPr>
        <w:pStyle w:val="ListParagraph"/>
        <w:numPr>
          <w:ilvl w:val="0"/>
          <w:numId w:val="38"/>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attainment in numeracy &amp; mathematics throughout the years of the broad general education and senior phase;</w:t>
      </w:r>
    </w:p>
    <w:p w14:paraId="2A180EDA" w14:textId="77777777" w:rsidR="000A3A8B" w:rsidRPr="00A30EA7" w:rsidRDefault="000A3A8B" w:rsidP="000A3A8B">
      <w:pPr>
        <w:pStyle w:val="ListParagraph"/>
        <w:numPr>
          <w:ilvl w:val="0"/>
          <w:numId w:val="38"/>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confidence and fluency in mathematics for children, young people and parents and all those who deliver mathematics education;</w:t>
      </w:r>
    </w:p>
    <w:p w14:paraId="77FE9377" w14:textId="77777777" w:rsidR="000A3A8B" w:rsidRPr="00A30EA7" w:rsidRDefault="000A3A8B" w:rsidP="000A3A8B">
      <w:pPr>
        <w:pStyle w:val="ListParagraph"/>
        <w:numPr>
          <w:ilvl w:val="0"/>
          <w:numId w:val="38"/>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the employability skills of pupils, school leavers and adults;</w:t>
      </w:r>
    </w:p>
    <w:p w14:paraId="7C6C2700" w14:textId="77777777" w:rsidR="000A3A8B" w:rsidRPr="00A30EA7" w:rsidRDefault="000A3A8B" w:rsidP="000A3A8B">
      <w:pPr>
        <w:pStyle w:val="ListParagraph"/>
        <w:numPr>
          <w:ilvl w:val="0"/>
          <w:numId w:val="38"/>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the quality of learning, teaching and assessment; and,</w:t>
      </w:r>
    </w:p>
    <w:p w14:paraId="5C21250F" w14:textId="77777777" w:rsidR="000A3A8B" w:rsidRPr="00A30EA7" w:rsidRDefault="000A3A8B" w:rsidP="000A3A8B">
      <w:pPr>
        <w:pStyle w:val="ListParagraph"/>
        <w:numPr>
          <w:ilvl w:val="0"/>
          <w:numId w:val="38"/>
        </w:numPr>
        <w:rPr>
          <w:rFonts w:ascii="Arial" w:eastAsiaTheme="minorHAnsi" w:hAnsi="Arial" w:cs="Arial"/>
          <w:b/>
          <w:color w:val="7F7F7F" w:themeColor="text1" w:themeTint="80"/>
          <w:sz w:val="24"/>
          <w:szCs w:val="24"/>
        </w:rPr>
      </w:pPr>
      <w:proofErr w:type="gramStart"/>
      <w:r w:rsidRPr="00A30EA7">
        <w:rPr>
          <w:rFonts w:ascii="Arial" w:eastAsiaTheme="minorHAnsi" w:hAnsi="Arial" w:cs="Arial"/>
          <w:color w:val="7F7F7F" w:themeColor="text1" w:themeTint="80"/>
          <w:sz w:val="24"/>
          <w:szCs w:val="24"/>
        </w:rPr>
        <w:t>public</w:t>
      </w:r>
      <w:proofErr w:type="gramEnd"/>
      <w:r w:rsidRPr="00A30EA7">
        <w:rPr>
          <w:rFonts w:ascii="Arial" w:eastAsiaTheme="minorHAnsi" w:hAnsi="Arial" w:cs="Arial"/>
          <w:color w:val="7F7F7F" w:themeColor="text1" w:themeTint="80"/>
          <w:sz w:val="24"/>
          <w:szCs w:val="24"/>
        </w:rPr>
        <w:t xml:space="preserve"> attitudes to numeracy &amp; mathematics.</w:t>
      </w:r>
      <w:r w:rsidR="00FD7B80" w:rsidRPr="00A30EA7">
        <w:rPr>
          <w:rFonts w:ascii="Arial" w:eastAsiaTheme="minorHAnsi" w:hAnsi="Arial" w:cs="Arial"/>
          <w:b/>
          <w:color w:val="7F7F7F" w:themeColor="text1" w:themeTint="80"/>
          <w:sz w:val="24"/>
          <w:szCs w:val="24"/>
        </w:rPr>
        <w:t xml:space="preserve"> </w:t>
      </w:r>
    </w:p>
    <w:p w14:paraId="7E97863D" w14:textId="77777777" w:rsidR="00FD7B80" w:rsidRPr="00A30EA7" w:rsidRDefault="00966501" w:rsidP="000A3A8B">
      <w:pPr>
        <w:spacing w:after="200" w:line="276" w:lineRule="auto"/>
        <w:rPr>
          <w:rFonts w:eastAsiaTheme="minorHAnsi" w:cs="Arial"/>
          <w:b/>
          <w:color w:val="7F7F7F" w:themeColor="text1" w:themeTint="80"/>
          <w:sz w:val="24"/>
        </w:rPr>
      </w:pPr>
      <w:r w:rsidRPr="00A30EA7">
        <w:rPr>
          <w:rFonts w:eastAsiaTheme="minorHAnsi" w:cs="Arial"/>
          <w:b/>
          <w:color w:val="7F7F7F" w:themeColor="text1" w:themeTint="80"/>
          <w:sz w:val="24"/>
        </w:rPr>
        <w:t>Objectives</w:t>
      </w:r>
      <w:r w:rsidR="00FD7B80" w:rsidRPr="00A30EA7">
        <w:rPr>
          <w:rFonts w:eastAsiaTheme="minorHAnsi" w:cs="Arial"/>
          <w:b/>
          <w:color w:val="7F7F7F" w:themeColor="text1" w:themeTint="80"/>
          <w:sz w:val="24"/>
        </w:rPr>
        <w:t>:</w:t>
      </w:r>
    </w:p>
    <w:p w14:paraId="1605D18B" w14:textId="77777777" w:rsidR="00400672" w:rsidRPr="00A30EA7" w:rsidRDefault="00C80699" w:rsidP="00400672">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400672" w:rsidRPr="00A30EA7">
        <w:rPr>
          <w:rFonts w:ascii="Arial" w:eastAsiaTheme="minorHAnsi" w:hAnsi="Arial" w:cs="Arial"/>
          <w:color w:val="7F7F7F" w:themeColor="text1" w:themeTint="80"/>
          <w:sz w:val="24"/>
          <w:szCs w:val="24"/>
        </w:rPr>
        <w:t>o reduce inequalities in outcomes for numeracy and mathematics through pedagogic approaches and interventions based on evidence;</w:t>
      </w:r>
    </w:p>
    <w:p w14:paraId="78446CE0" w14:textId="77777777" w:rsidR="00400672" w:rsidRPr="00A30EA7" w:rsidRDefault="00C80699" w:rsidP="00400672">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400672" w:rsidRPr="00A30EA7">
        <w:rPr>
          <w:rFonts w:ascii="Arial" w:eastAsiaTheme="minorHAnsi" w:hAnsi="Arial" w:cs="Arial"/>
          <w:color w:val="7F7F7F" w:themeColor="text1" w:themeTint="80"/>
          <w:sz w:val="24"/>
          <w:szCs w:val="24"/>
        </w:rPr>
        <w:t>o provide high quality learning experiences for all learners, underpinned by the design principles;</w:t>
      </w:r>
    </w:p>
    <w:p w14:paraId="7411D418" w14:textId="77777777" w:rsidR="000A3A8B" w:rsidRPr="00A30EA7" w:rsidRDefault="00C80699" w:rsidP="00966501">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966501" w:rsidRPr="00A30EA7">
        <w:rPr>
          <w:rFonts w:ascii="Arial" w:eastAsiaTheme="minorHAnsi" w:hAnsi="Arial" w:cs="Arial"/>
          <w:color w:val="7F7F7F" w:themeColor="text1" w:themeTint="80"/>
          <w:sz w:val="24"/>
          <w:szCs w:val="24"/>
        </w:rPr>
        <w:t xml:space="preserve">o provide consistent, high quality professional learning for staff in the effective use of </w:t>
      </w:r>
      <w:r w:rsidR="000A3A8B" w:rsidRPr="00A30EA7">
        <w:rPr>
          <w:rFonts w:ascii="Arial" w:eastAsiaTheme="minorHAnsi" w:hAnsi="Arial" w:cs="Arial"/>
          <w:color w:val="7F7F7F" w:themeColor="text1" w:themeTint="80"/>
          <w:sz w:val="24"/>
          <w:szCs w:val="24"/>
        </w:rPr>
        <w:t>strategies and resources to support pedagogical development of numeracy and maths</w:t>
      </w:r>
      <w:r w:rsidR="00400672" w:rsidRPr="00A30EA7">
        <w:rPr>
          <w:rFonts w:ascii="Arial" w:eastAsiaTheme="minorHAnsi" w:hAnsi="Arial" w:cs="Arial"/>
          <w:color w:val="7F7F7F" w:themeColor="text1" w:themeTint="80"/>
          <w:sz w:val="24"/>
          <w:szCs w:val="24"/>
        </w:rPr>
        <w:t>;</w:t>
      </w:r>
    </w:p>
    <w:p w14:paraId="6B028D55" w14:textId="77777777" w:rsidR="000A3A8B" w:rsidRPr="00A30EA7" w:rsidRDefault="00C80699" w:rsidP="000A3A8B">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0A3A8B" w:rsidRPr="00A30EA7">
        <w:rPr>
          <w:rFonts w:ascii="Arial" w:eastAsiaTheme="minorHAnsi" w:hAnsi="Arial" w:cs="Arial"/>
          <w:color w:val="7F7F7F" w:themeColor="text1" w:themeTint="80"/>
          <w:sz w:val="24"/>
          <w:szCs w:val="24"/>
        </w:rPr>
        <w:t>o facilitate moderation opportunities to ensure consistent high standards in numeracy and maths</w:t>
      </w:r>
      <w:r w:rsidR="00400672" w:rsidRPr="00A30EA7">
        <w:rPr>
          <w:rFonts w:ascii="Arial" w:eastAsiaTheme="minorHAnsi" w:hAnsi="Arial" w:cs="Arial"/>
          <w:color w:val="7F7F7F" w:themeColor="text1" w:themeTint="80"/>
          <w:sz w:val="24"/>
          <w:szCs w:val="24"/>
        </w:rPr>
        <w:t>;</w:t>
      </w:r>
    </w:p>
    <w:p w14:paraId="5BF4F661" w14:textId="77777777" w:rsidR="00966501" w:rsidRPr="00A30EA7" w:rsidRDefault="00C80699" w:rsidP="00966501">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0D732E" w:rsidRPr="00A30EA7">
        <w:rPr>
          <w:rFonts w:ascii="Arial" w:eastAsiaTheme="minorHAnsi" w:hAnsi="Arial" w:cs="Arial"/>
          <w:color w:val="7F7F7F" w:themeColor="text1" w:themeTint="80"/>
          <w:sz w:val="24"/>
          <w:szCs w:val="24"/>
        </w:rPr>
        <w:t>o embed procedures for the</w:t>
      </w:r>
      <w:r w:rsidR="00966501" w:rsidRPr="00A30EA7">
        <w:rPr>
          <w:rFonts w:ascii="Arial" w:eastAsiaTheme="minorHAnsi" w:hAnsi="Arial" w:cs="Arial"/>
          <w:color w:val="7F7F7F" w:themeColor="text1" w:themeTint="80"/>
          <w:sz w:val="24"/>
          <w:szCs w:val="24"/>
        </w:rPr>
        <w:t xml:space="preserve"> sharing of best practice </w:t>
      </w:r>
      <w:r w:rsidR="00400672" w:rsidRPr="00A30EA7">
        <w:rPr>
          <w:rFonts w:ascii="Arial" w:eastAsiaTheme="minorHAnsi" w:hAnsi="Arial" w:cs="Arial"/>
          <w:color w:val="7F7F7F" w:themeColor="text1" w:themeTint="80"/>
          <w:sz w:val="24"/>
          <w:szCs w:val="24"/>
        </w:rPr>
        <w:t>both within and across establishments;</w:t>
      </w:r>
    </w:p>
    <w:p w14:paraId="5F9CD4DB" w14:textId="77777777" w:rsidR="000D732E" w:rsidRPr="00A30EA7" w:rsidRDefault="00C80699" w:rsidP="00966501">
      <w:pPr>
        <w:pStyle w:val="ListParagraph"/>
        <w:numPr>
          <w:ilvl w:val="0"/>
          <w:numId w:val="31"/>
        </w:numPr>
        <w:rPr>
          <w:rFonts w:ascii="Arial" w:eastAsiaTheme="minorHAnsi" w:hAnsi="Arial" w:cs="Arial"/>
          <w:b/>
          <w:color w:val="7F7F7F" w:themeColor="text1" w:themeTint="80"/>
          <w:sz w:val="24"/>
          <w:szCs w:val="24"/>
        </w:rPr>
      </w:pPr>
      <w:r w:rsidRPr="00A30EA7">
        <w:rPr>
          <w:rFonts w:ascii="Arial" w:eastAsiaTheme="minorHAnsi" w:hAnsi="Arial" w:cs="Arial"/>
          <w:color w:val="7F7F7F" w:themeColor="text1" w:themeTint="80"/>
          <w:sz w:val="24"/>
          <w:szCs w:val="24"/>
        </w:rPr>
        <w:t>t</w:t>
      </w:r>
      <w:r w:rsidR="00966501" w:rsidRPr="00A30EA7">
        <w:rPr>
          <w:rFonts w:ascii="Arial" w:eastAsiaTheme="minorHAnsi" w:hAnsi="Arial" w:cs="Arial"/>
          <w:color w:val="7F7F7F" w:themeColor="text1" w:themeTint="80"/>
          <w:sz w:val="24"/>
          <w:szCs w:val="24"/>
        </w:rPr>
        <w:t xml:space="preserve">o </w:t>
      </w:r>
      <w:r w:rsidR="000A3A8B" w:rsidRPr="00A30EA7">
        <w:rPr>
          <w:rFonts w:ascii="Arial" w:eastAsiaTheme="minorHAnsi" w:hAnsi="Arial" w:cs="Arial"/>
          <w:color w:val="7F7F7F" w:themeColor="text1" w:themeTint="80"/>
          <w:sz w:val="24"/>
          <w:szCs w:val="24"/>
        </w:rPr>
        <w:t xml:space="preserve">engage with families to promote a growth </w:t>
      </w:r>
      <w:r w:rsidR="00400672" w:rsidRPr="00A30EA7">
        <w:rPr>
          <w:rFonts w:ascii="Arial" w:eastAsiaTheme="minorHAnsi" w:hAnsi="Arial" w:cs="Arial"/>
          <w:color w:val="7F7F7F" w:themeColor="text1" w:themeTint="80"/>
          <w:sz w:val="24"/>
          <w:szCs w:val="24"/>
        </w:rPr>
        <w:t>mind set</w:t>
      </w:r>
      <w:r w:rsidR="000A3A8B" w:rsidRPr="00A30EA7">
        <w:rPr>
          <w:rFonts w:ascii="Arial" w:eastAsiaTheme="minorHAnsi" w:hAnsi="Arial" w:cs="Arial"/>
          <w:color w:val="7F7F7F" w:themeColor="text1" w:themeTint="80"/>
          <w:sz w:val="24"/>
          <w:szCs w:val="24"/>
        </w:rPr>
        <w:t xml:space="preserve"> approach to numeracy and </w:t>
      </w:r>
      <w:r w:rsidR="00400672" w:rsidRPr="00A30EA7">
        <w:rPr>
          <w:rFonts w:ascii="Arial" w:eastAsiaTheme="minorHAnsi" w:hAnsi="Arial" w:cs="Arial"/>
          <w:color w:val="7F7F7F" w:themeColor="text1" w:themeTint="80"/>
          <w:sz w:val="24"/>
          <w:szCs w:val="24"/>
        </w:rPr>
        <w:t>maths and to develop confidence and fluency;</w:t>
      </w:r>
    </w:p>
    <w:p w14:paraId="1E9ECBCC" w14:textId="77777777" w:rsidR="000D732E" w:rsidRPr="00A30EA7" w:rsidRDefault="00C80699" w:rsidP="00966501">
      <w:pPr>
        <w:pStyle w:val="ListParagraph"/>
        <w:numPr>
          <w:ilvl w:val="0"/>
          <w:numId w:val="31"/>
        </w:numPr>
        <w:rPr>
          <w:rFonts w:ascii="Arial" w:eastAsiaTheme="minorHAnsi" w:hAnsi="Arial" w:cs="Arial"/>
          <w:b/>
          <w:color w:val="7F7F7F" w:themeColor="text1" w:themeTint="80"/>
          <w:sz w:val="24"/>
          <w:szCs w:val="24"/>
        </w:rPr>
      </w:pPr>
      <w:proofErr w:type="gramStart"/>
      <w:r w:rsidRPr="00A30EA7">
        <w:rPr>
          <w:rFonts w:ascii="Arial" w:eastAsiaTheme="minorHAnsi" w:hAnsi="Arial" w:cs="Arial"/>
          <w:color w:val="7F7F7F" w:themeColor="text1" w:themeTint="80"/>
          <w:sz w:val="24"/>
          <w:szCs w:val="24"/>
        </w:rPr>
        <w:t>t</w:t>
      </w:r>
      <w:r w:rsidR="000D732E" w:rsidRPr="00A30EA7">
        <w:rPr>
          <w:rFonts w:ascii="Arial" w:eastAsiaTheme="minorHAnsi" w:hAnsi="Arial" w:cs="Arial"/>
          <w:color w:val="7F7F7F" w:themeColor="text1" w:themeTint="80"/>
          <w:sz w:val="24"/>
          <w:szCs w:val="24"/>
        </w:rPr>
        <w:t>o</w:t>
      </w:r>
      <w:proofErr w:type="gramEnd"/>
      <w:r w:rsidR="000D732E" w:rsidRPr="00A30EA7">
        <w:rPr>
          <w:rFonts w:ascii="Arial" w:eastAsiaTheme="minorHAnsi" w:hAnsi="Arial" w:cs="Arial"/>
          <w:color w:val="7F7F7F" w:themeColor="text1" w:themeTint="80"/>
          <w:sz w:val="24"/>
          <w:szCs w:val="24"/>
        </w:rPr>
        <w:t xml:space="preserve"> ensure </w:t>
      </w:r>
      <w:r w:rsidR="00400672" w:rsidRPr="00A30EA7">
        <w:rPr>
          <w:rFonts w:ascii="Arial" w:eastAsiaTheme="minorHAnsi" w:hAnsi="Arial" w:cs="Arial"/>
          <w:color w:val="7F7F7F" w:themeColor="text1" w:themeTint="80"/>
          <w:sz w:val="24"/>
          <w:szCs w:val="24"/>
        </w:rPr>
        <w:t>quality numeracy and maths teaching is embedded in Developing the Young Workforce approaches.</w:t>
      </w:r>
    </w:p>
    <w:p w14:paraId="4CFD1CB6" w14:textId="77777777" w:rsidR="00837BB1" w:rsidRPr="00A30EA7" w:rsidRDefault="00837BB1" w:rsidP="00837BB1">
      <w:pPr>
        <w:rPr>
          <w:rFonts w:eastAsiaTheme="minorHAnsi" w:cs="Arial"/>
          <w:b/>
          <w:color w:val="7F7F7F" w:themeColor="text1" w:themeTint="80"/>
          <w:sz w:val="24"/>
        </w:rPr>
      </w:pPr>
      <w:commentRangeStart w:id="1"/>
      <w:r w:rsidRPr="00A30EA7">
        <w:rPr>
          <w:rFonts w:eastAsiaTheme="minorHAnsi" w:cs="Arial"/>
          <w:b/>
          <w:color w:val="7F7F7F" w:themeColor="text1" w:themeTint="80"/>
          <w:sz w:val="24"/>
        </w:rPr>
        <w:t>Our Approaches:</w:t>
      </w:r>
      <w:commentRangeEnd w:id="1"/>
      <w:r w:rsidR="004C6917" w:rsidRPr="00A30EA7">
        <w:rPr>
          <w:rStyle w:val="CommentReference"/>
          <w:rFonts w:cs="Arial"/>
          <w:color w:val="7F7F7F" w:themeColor="text1" w:themeTint="80"/>
          <w:sz w:val="24"/>
          <w:szCs w:val="24"/>
        </w:rPr>
        <w:commentReference w:id="1"/>
      </w:r>
    </w:p>
    <w:p w14:paraId="25435686" w14:textId="77777777" w:rsidR="00837BB1" w:rsidRPr="00A30EA7" w:rsidRDefault="00837BB1" w:rsidP="00837BB1">
      <w:pPr>
        <w:rPr>
          <w:rFonts w:eastAsiaTheme="minorHAnsi" w:cs="Arial"/>
          <w:b/>
          <w:color w:val="7F7F7F" w:themeColor="text1" w:themeTint="80"/>
          <w:sz w:val="24"/>
        </w:rPr>
      </w:pPr>
    </w:p>
    <w:p w14:paraId="235B1571" w14:textId="77777777" w:rsidR="00174376" w:rsidRPr="00A30EA7" w:rsidRDefault="00174376" w:rsidP="002C61F4">
      <w:pPr>
        <w:jc w:val="both"/>
        <w:rPr>
          <w:rFonts w:eastAsiaTheme="minorHAnsi" w:cs="Arial"/>
          <w:b/>
          <w:color w:val="7F7F7F" w:themeColor="text1" w:themeTint="80"/>
          <w:sz w:val="24"/>
        </w:rPr>
      </w:pPr>
      <w:r w:rsidRPr="00A30EA7">
        <w:rPr>
          <w:rFonts w:eastAsiaTheme="minorHAnsi" w:cs="Arial"/>
          <w:b/>
          <w:color w:val="7F7F7F" w:themeColor="text1" w:themeTint="80"/>
          <w:sz w:val="24"/>
        </w:rPr>
        <w:t>Curriculum for Excellence</w:t>
      </w:r>
    </w:p>
    <w:p w14:paraId="785263D1" w14:textId="77777777" w:rsidR="00D84183" w:rsidRPr="00A30EA7" w:rsidRDefault="00D84183" w:rsidP="002C61F4">
      <w:pPr>
        <w:jc w:val="both"/>
        <w:rPr>
          <w:rFonts w:cs="Arial"/>
          <w:color w:val="7F7F7F" w:themeColor="text1" w:themeTint="80"/>
          <w:sz w:val="24"/>
          <w:shd w:val="clear" w:color="auto" w:fill="FFFFFF"/>
        </w:rPr>
      </w:pPr>
    </w:p>
    <w:p w14:paraId="0BCC4BFB" w14:textId="77777777" w:rsidR="00D84183" w:rsidRPr="00A30EA7" w:rsidRDefault="00D16063" w:rsidP="00D16063">
      <w:pPr>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“All schools, working with their partners, need to have strategies to ensure that all children and young people develop high levels of numeracy skills through their learning across the curriculum” (Scottish Government, online: 1). Learning and teaching within numeracy and maths is built on the design principles of the curriculum, includes interdisciplinary approaches and uses the moderation cycle to ensure standards and quality. Approaches draw on the “features of effective learning and teaching in mathematics” detailed in the </w:t>
      </w:r>
      <w:r w:rsidRPr="00A30EA7">
        <w:rPr>
          <w:rFonts w:eastAsiaTheme="minorHAnsi" w:cs="Arial"/>
          <w:i/>
          <w:color w:val="7F7F7F" w:themeColor="text1" w:themeTint="80"/>
          <w:sz w:val="24"/>
        </w:rPr>
        <w:t xml:space="preserve">Mathematics: Principles and Practice </w:t>
      </w:r>
      <w:r w:rsidRPr="00A30EA7">
        <w:rPr>
          <w:rFonts w:eastAsiaTheme="minorHAnsi" w:cs="Arial"/>
          <w:color w:val="7F7F7F" w:themeColor="text1" w:themeTint="80"/>
          <w:sz w:val="24"/>
        </w:rPr>
        <w:t xml:space="preserve">document (Scottish Government, online: 2). </w:t>
      </w:r>
    </w:p>
    <w:p w14:paraId="378B83D2" w14:textId="77777777" w:rsidR="009F22BD" w:rsidRPr="00A30EA7" w:rsidRDefault="009F22BD" w:rsidP="009F22BD">
      <w:pPr>
        <w:rPr>
          <w:rFonts w:eastAsiaTheme="minorHAnsi" w:cs="Arial"/>
          <w:color w:val="7F7F7F" w:themeColor="text1" w:themeTint="80"/>
          <w:sz w:val="24"/>
        </w:rPr>
      </w:pPr>
    </w:p>
    <w:p w14:paraId="7E4CEC7F" w14:textId="77777777" w:rsidR="00174376" w:rsidRPr="00A30EA7" w:rsidRDefault="00D84183" w:rsidP="00D84183">
      <w:pPr>
        <w:jc w:val="both"/>
        <w:rPr>
          <w:rFonts w:eastAsiaTheme="minorHAnsi" w:cs="Arial"/>
          <w:b/>
          <w:color w:val="7F7F7F" w:themeColor="text1" w:themeTint="80"/>
          <w:sz w:val="24"/>
        </w:rPr>
      </w:pPr>
      <w:r w:rsidRPr="00A30EA7">
        <w:rPr>
          <w:rFonts w:eastAsiaTheme="minorHAnsi" w:cs="Arial"/>
          <w:b/>
          <w:color w:val="7F7F7F" w:themeColor="text1" w:themeTint="80"/>
          <w:sz w:val="24"/>
        </w:rPr>
        <w:t>CPA (Concrete, Pictorial, Abstract)</w:t>
      </w:r>
    </w:p>
    <w:p w14:paraId="6819C2D7" w14:textId="77777777" w:rsidR="0030556C" w:rsidRPr="00A30EA7" w:rsidRDefault="0030556C" w:rsidP="00D84183">
      <w:pPr>
        <w:jc w:val="both"/>
        <w:rPr>
          <w:rFonts w:eastAsiaTheme="minorHAnsi" w:cs="Arial"/>
          <w:b/>
          <w:color w:val="7F7F7F" w:themeColor="text1" w:themeTint="80"/>
          <w:sz w:val="24"/>
        </w:rPr>
      </w:pPr>
    </w:p>
    <w:p w14:paraId="3F5491F0" w14:textId="77777777" w:rsidR="0030556C" w:rsidRPr="00A30EA7" w:rsidRDefault="0030556C" w:rsidP="00D84183">
      <w:pPr>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CPA is a highly effective approach to teaching mathematics based on the work of Jerome Bruner (1960) that develops a deep and sustainable understanding of maths in pupils. At the concrete phase children use appropriate materials e.g. </w:t>
      </w:r>
      <w:proofErr w:type="spellStart"/>
      <w:r w:rsidRPr="00A30EA7">
        <w:rPr>
          <w:rFonts w:eastAsiaTheme="minorHAnsi" w:cs="Arial"/>
          <w:color w:val="7F7F7F" w:themeColor="text1" w:themeTint="80"/>
          <w:sz w:val="24"/>
        </w:rPr>
        <w:t>unifix</w:t>
      </w:r>
      <w:proofErr w:type="spellEnd"/>
      <w:r w:rsidRPr="00A30EA7">
        <w:rPr>
          <w:rFonts w:eastAsiaTheme="minorHAnsi" w:cs="Arial"/>
          <w:color w:val="7F7F7F" w:themeColor="text1" w:themeTint="80"/>
          <w:sz w:val="24"/>
        </w:rPr>
        <w:t>, dienes, ten frames, dot patterns, counters, dice to support their learning. When moving into the pictorial phase children are provided with and create diagrams or visuals to represent the concrete phase. At the abstract phase, children use numbers and symbols (algorithms) to represent concepts.</w:t>
      </w:r>
    </w:p>
    <w:p w14:paraId="2A6F8A3E" w14:textId="77777777" w:rsidR="00D84183" w:rsidRPr="00A30EA7" w:rsidRDefault="0030556C" w:rsidP="002C61F4">
      <w:pPr>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 </w:t>
      </w:r>
    </w:p>
    <w:p w14:paraId="14172F23" w14:textId="77777777" w:rsidR="00D16063" w:rsidRPr="00A30EA7" w:rsidRDefault="00D16063" w:rsidP="0030556C">
      <w:pPr>
        <w:jc w:val="center"/>
        <w:rPr>
          <w:rFonts w:eastAsiaTheme="minorHAnsi" w:cs="Arial"/>
          <w:color w:val="7F7F7F" w:themeColor="text1" w:themeTint="80"/>
          <w:sz w:val="24"/>
        </w:rPr>
      </w:pPr>
      <w:r w:rsidRPr="00A30EA7">
        <w:rPr>
          <w:rFonts w:cs="Arial"/>
          <w:noProof/>
          <w:color w:val="7F7F7F" w:themeColor="text1" w:themeTint="80"/>
          <w:sz w:val="24"/>
          <w:lang w:eastAsia="en-GB"/>
        </w:rPr>
        <w:drawing>
          <wp:inline distT="0" distB="0" distL="0" distR="0" wp14:anchorId="7306A7AC" wp14:editId="615B5AC2">
            <wp:extent cx="46958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5825" cy="2247900"/>
                    </a:xfrm>
                    <a:prstGeom prst="rect">
                      <a:avLst/>
                    </a:prstGeom>
                  </pic:spPr>
                </pic:pic>
              </a:graphicData>
            </a:graphic>
          </wp:inline>
        </w:drawing>
      </w:r>
    </w:p>
    <w:p w14:paraId="5878178C" w14:textId="77777777" w:rsidR="009F22BD" w:rsidRPr="00A30EA7" w:rsidRDefault="009F22BD" w:rsidP="009F22BD">
      <w:pPr>
        <w:rPr>
          <w:rFonts w:eastAsiaTheme="minorHAnsi" w:cs="Arial"/>
          <w:color w:val="7F7F7F" w:themeColor="text1" w:themeTint="80"/>
          <w:sz w:val="24"/>
        </w:rPr>
      </w:pPr>
    </w:p>
    <w:p w14:paraId="122C3ACA" w14:textId="77777777" w:rsidR="00174376" w:rsidRPr="00A30EA7" w:rsidRDefault="00D84183" w:rsidP="002C61F4">
      <w:pPr>
        <w:jc w:val="both"/>
        <w:rPr>
          <w:rFonts w:eastAsiaTheme="minorHAnsi" w:cs="Arial"/>
          <w:b/>
          <w:color w:val="7F7F7F" w:themeColor="text1" w:themeTint="80"/>
          <w:sz w:val="24"/>
        </w:rPr>
      </w:pPr>
      <w:r w:rsidRPr="00A30EA7">
        <w:rPr>
          <w:rFonts w:eastAsiaTheme="minorHAnsi" w:cs="Arial"/>
          <w:b/>
          <w:color w:val="7F7F7F" w:themeColor="text1" w:themeTint="80"/>
          <w:sz w:val="24"/>
        </w:rPr>
        <w:t xml:space="preserve">Growth </w:t>
      </w:r>
      <w:proofErr w:type="spellStart"/>
      <w:r w:rsidRPr="00A30EA7">
        <w:rPr>
          <w:rFonts w:eastAsiaTheme="minorHAnsi" w:cs="Arial"/>
          <w:b/>
          <w:color w:val="7F7F7F" w:themeColor="text1" w:themeTint="80"/>
          <w:sz w:val="24"/>
        </w:rPr>
        <w:t>Mindset</w:t>
      </w:r>
      <w:proofErr w:type="spellEnd"/>
    </w:p>
    <w:p w14:paraId="45D8248F" w14:textId="77777777" w:rsidR="0030556C" w:rsidRPr="00A30EA7" w:rsidRDefault="0030556C" w:rsidP="002C61F4">
      <w:pPr>
        <w:jc w:val="both"/>
        <w:rPr>
          <w:rFonts w:eastAsiaTheme="minorHAnsi" w:cs="Arial"/>
          <w:b/>
          <w:color w:val="7F7F7F" w:themeColor="text1" w:themeTint="80"/>
          <w:sz w:val="24"/>
        </w:rPr>
      </w:pPr>
    </w:p>
    <w:p w14:paraId="0FFF5F3D" w14:textId="77777777" w:rsidR="0030556C" w:rsidRPr="00A30EA7" w:rsidRDefault="0030556C" w:rsidP="0030556C">
      <w:pPr>
        <w:jc w:val="both"/>
        <w:rPr>
          <w:rFonts w:eastAsiaTheme="minorHAnsi" w:cs="Arial"/>
          <w:color w:val="7F7F7F" w:themeColor="text1" w:themeTint="80"/>
          <w:sz w:val="24"/>
        </w:rPr>
      </w:pPr>
      <w:r w:rsidRPr="00A30EA7">
        <w:rPr>
          <w:rFonts w:eastAsiaTheme="minorHAnsi" w:cs="Arial"/>
          <w:color w:val="7F7F7F" w:themeColor="text1" w:themeTint="80"/>
          <w:sz w:val="24"/>
        </w:rPr>
        <w:t xml:space="preserve">Research findings show that children’s brains can grow, adapt and change – enabling them to learn mathematics to high levels. The myth of a ‘maths person’ should be challenged in classrooms – all learners are capable of growing their minds. Developing strong mathematical </w:t>
      </w:r>
      <w:proofErr w:type="spellStart"/>
      <w:r w:rsidRPr="00A30EA7">
        <w:rPr>
          <w:rFonts w:eastAsiaTheme="minorHAnsi" w:cs="Arial"/>
          <w:color w:val="7F7F7F" w:themeColor="text1" w:themeTint="80"/>
          <w:sz w:val="24"/>
        </w:rPr>
        <w:t>mindsets</w:t>
      </w:r>
      <w:proofErr w:type="spellEnd"/>
      <w:r w:rsidRPr="00A30EA7">
        <w:rPr>
          <w:rFonts w:eastAsiaTheme="minorHAnsi" w:cs="Arial"/>
          <w:color w:val="7F7F7F" w:themeColor="text1" w:themeTint="80"/>
          <w:sz w:val="24"/>
        </w:rPr>
        <w:t xml:space="preserve"> includes:</w:t>
      </w:r>
    </w:p>
    <w:p w14:paraId="52F5601B" w14:textId="77777777" w:rsidR="00D84183" w:rsidRPr="00A30EA7" w:rsidRDefault="00D84183" w:rsidP="002C61F4">
      <w:pPr>
        <w:jc w:val="both"/>
        <w:rPr>
          <w:rFonts w:eastAsiaTheme="minorHAnsi" w:cs="Arial"/>
          <w:color w:val="7F7F7F" w:themeColor="text1" w:themeTint="80"/>
          <w:sz w:val="24"/>
        </w:rPr>
      </w:pPr>
    </w:p>
    <w:p w14:paraId="2A74C773" w14:textId="77777777" w:rsidR="0030556C" w:rsidRPr="00A30EA7" w:rsidRDefault="0030556C" w:rsidP="0030556C">
      <w:pPr>
        <w:pStyle w:val="ListParagraph"/>
        <w:numPr>
          <w:ilvl w:val="0"/>
          <w:numId w:val="40"/>
        </w:numPr>
        <w:jc w:val="both"/>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Developing a culture of ‘I can’t do it yet’ and using mistakes as learning opportunities</w:t>
      </w:r>
    </w:p>
    <w:p w14:paraId="5D143FDF" w14:textId="77777777" w:rsidR="0030556C" w:rsidRPr="00A30EA7" w:rsidRDefault="0030556C" w:rsidP="0030556C">
      <w:pPr>
        <w:pStyle w:val="ListParagraph"/>
        <w:numPr>
          <w:ilvl w:val="0"/>
          <w:numId w:val="40"/>
        </w:numPr>
        <w:jc w:val="both"/>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Promoting depth as more important than speed</w:t>
      </w:r>
    </w:p>
    <w:p w14:paraId="6CE33795" w14:textId="77777777" w:rsidR="0030556C" w:rsidRPr="00A30EA7" w:rsidRDefault="0030556C" w:rsidP="0030556C">
      <w:pPr>
        <w:pStyle w:val="ListParagraph"/>
        <w:numPr>
          <w:ilvl w:val="0"/>
          <w:numId w:val="40"/>
        </w:numPr>
        <w:jc w:val="both"/>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Encouraging learners to ask questions to deepen their understanding and use varied strategies</w:t>
      </w:r>
    </w:p>
    <w:p w14:paraId="63D84CB5" w14:textId="77777777" w:rsidR="0030556C" w:rsidRPr="00A30EA7" w:rsidRDefault="0030556C" w:rsidP="0030556C">
      <w:pPr>
        <w:pStyle w:val="ListParagraph"/>
        <w:numPr>
          <w:ilvl w:val="0"/>
          <w:numId w:val="40"/>
        </w:numPr>
        <w:jc w:val="both"/>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The power of struggle – facing challenge is important and should be recognised</w:t>
      </w:r>
    </w:p>
    <w:p w14:paraId="7C03A613" w14:textId="77777777" w:rsidR="009F22BD" w:rsidRPr="00A30EA7" w:rsidRDefault="0030556C" w:rsidP="001143D5">
      <w:pPr>
        <w:pStyle w:val="ListParagraph"/>
        <w:numPr>
          <w:ilvl w:val="0"/>
          <w:numId w:val="40"/>
        </w:numPr>
        <w:spacing w:line="240" w:lineRule="auto"/>
        <w:jc w:val="both"/>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Supporting children to be visual in exploring maths</w:t>
      </w:r>
    </w:p>
    <w:p w14:paraId="33071D71" w14:textId="77777777" w:rsidR="001143D5" w:rsidRPr="00A30EA7" w:rsidRDefault="001143D5" w:rsidP="001143D5">
      <w:pPr>
        <w:rPr>
          <w:rFonts w:eastAsiaTheme="minorHAnsi" w:cs="Arial"/>
          <w:b/>
          <w:color w:val="7F7F7F" w:themeColor="text1" w:themeTint="80"/>
          <w:sz w:val="24"/>
        </w:rPr>
      </w:pPr>
    </w:p>
    <w:p w14:paraId="33013950" w14:textId="77777777" w:rsidR="00837BB1" w:rsidRPr="00A30EA7" w:rsidRDefault="00D84183" w:rsidP="001143D5">
      <w:pPr>
        <w:rPr>
          <w:rFonts w:eastAsiaTheme="minorHAnsi" w:cs="Arial"/>
          <w:b/>
          <w:color w:val="7F7F7F" w:themeColor="text1" w:themeTint="80"/>
          <w:sz w:val="24"/>
        </w:rPr>
      </w:pPr>
      <w:r w:rsidRPr="00A30EA7">
        <w:rPr>
          <w:rFonts w:eastAsiaTheme="minorHAnsi" w:cs="Arial"/>
          <w:b/>
          <w:color w:val="7F7F7F" w:themeColor="text1" w:themeTint="80"/>
          <w:sz w:val="24"/>
        </w:rPr>
        <w:t>Problem Solving</w:t>
      </w:r>
    </w:p>
    <w:p w14:paraId="1E3780C1" w14:textId="337DB55A" w:rsidR="00D84183" w:rsidRPr="00A30EA7" w:rsidRDefault="00A30EA7" w:rsidP="001143D5">
      <w:pPr>
        <w:spacing w:after="200"/>
        <w:rPr>
          <w:rFonts w:eastAsiaTheme="minorHAnsi" w:cs="Arial"/>
          <w:b/>
          <w:color w:val="7F7F7F" w:themeColor="text1" w:themeTint="80"/>
          <w:sz w:val="24"/>
        </w:rPr>
      </w:pPr>
      <w:r>
        <w:rPr>
          <w:rFonts w:eastAsiaTheme="minorHAnsi" w:cs="Arial"/>
          <w:color w:val="7F7F7F" w:themeColor="text1" w:themeTint="80"/>
          <w:sz w:val="24"/>
        </w:rPr>
        <w:br/>
      </w:r>
      <w:r w:rsidR="0030556C" w:rsidRPr="00A30EA7">
        <w:rPr>
          <w:rFonts w:eastAsiaTheme="minorHAnsi" w:cs="Arial"/>
          <w:color w:val="7F7F7F" w:themeColor="text1" w:themeTint="80"/>
          <w:sz w:val="24"/>
        </w:rPr>
        <w:t xml:space="preserve">Curriculum for Excellence supports a problem solving approach and promotes the development of children’s problem solving, reasoning and fluency skills. Problem solving within mathematics is the ability to apply mathematical skills and strategies to a variety of situations. To facilitate this, </w:t>
      </w:r>
      <w:r w:rsidR="001143D5" w:rsidRPr="00A30EA7">
        <w:rPr>
          <w:rFonts w:eastAsiaTheme="minorHAnsi" w:cs="Arial"/>
          <w:color w:val="7F7F7F" w:themeColor="text1" w:themeTint="80"/>
          <w:sz w:val="24"/>
        </w:rPr>
        <w:t xml:space="preserve">we embed opportunities for problem solving across numeracy and maths that develop creativity, promote resilience and celebrate challenge. Additionally, </w:t>
      </w:r>
      <w:r w:rsidR="0030556C" w:rsidRPr="00A30EA7">
        <w:rPr>
          <w:rFonts w:eastAsiaTheme="minorHAnsi" w:cs="Arial"/>
          <w:color w:val="7F7F7F" w:themeColor="text1" w:themeTint="80"/>
          <w:sz w:val="24"/>
        </w:rPr>
        <w:t xml:space="preserve">we use interdisciplinary approaches that require learners to transfer their skills into new contexts.  </w:t>
      </w:r>
    </w:p>
    <w:p w14:paraId="6D6F1059" w14:textId="77777777" w:rsidR="00A30EA7" w:rsidRDefault="00A30EA7">
      <w:pPr>
        <w:rPr>
          <w:rFonts w:cs="Arial"/>
          <w:b/>
          <w:color w:val="7F7F7F" w:themeColor="text1" w:themeTint="80"/>
          <w:sz w:val="24"/>
          <w:lang w:eastAsia="en-GB"/>
        </w:rPr>
      </w:pPr>
      <w:r>
        <w:rPr>
          <w:rFonts w:cs="Arial"/>
          <w:b/>
          <w:color w:val="7F7F7F" w:themeColor="text1" w:themeTint="80"/>
        </w:rPr>
        <w:br w:type="page"/>
      </w:r>
    </w:p>
    <w:p w14:paraId="5253328C" w14:textId="38E2BCBA" w:rsidR="00C90652" w:rsidRDefault="00C90652" w:rsidP="00C90652">
      <w:pPr>
        <w:pStyle w:val="NormalWeb"/>
        <w:spacing w:before="0" w:beforeAutospacing="0" w:after="0" w:afterAutospacing="0"/>
        <w:rPr>
          <w:rFonts w:ascii="Arial" w:hAnsi="Arial" w:cs="Arial"/>
          <w:b/>
          <w:color w:val="7F7F7F" w:themeColor="text1" w:themeTint="80"/>
        </w:rPr>
      </w:pPr>
      <w:r w:rsidRPr="00A30EA7">
        <w:rPr>
          <w:rFonts w:ascii="Arial" w:hAnsi="Arial" w:cs="Arial"/>
          <w:b/>
          <w:color w:val="7F7F7F" w:themeColor="text1" w:themeTint="80"/>
        </w:rPr>
        <w:lastRenderedPageBreak/>
        <w:t>Assessment</w:t>
      </w:r>
    </w:p>
    <w:p w14:paraId="58D30BEF" w14:textId="77777777" w:rsidR="00A30EA7" w:rsidRPr="00A30EA7" w:rsidRDefault="00A30EA7" w:rsidP="00A30EA7">
      <w:pPr>
        <w:pStyle w:val="NormalWeb"/>
        <w:spacing w:before="0" w:beforeAutospacing="0" w:after="200" w:afterAutospacing="0"/>
        <w:rPr>
          <w:rFonts w:ascii="Arial" w:hAnsi="Arial" w:cs="Arial"/>
          <w:b/>
          <w:color w:val="7F7F7F" w:themeColor="text1" w:themeTint="80"/>
        </w:rPr>
      </w:pPr>
    </w:p>
    <w:p w14:paraId="48780A1E" w14:textId="5BB5ACAF" w:rsidR="00A30EA7" w:rsidRPr="00A30EA7" w:rsidRDefault="00A30EA7" w:rsidP="00A30EA7">
      <w:pPr>
        <w:spacing w:after="200"/>
        <w:rPr>
          <w:rFonts w:cs="Arial"/>
          <w:color w:val="7F7F7F" w:themeColor="text1" w:themeTint="80"/>
          <w:sz w:val="24"/>
          <w:lang w:eastAsia="en-GB"/>
        </w:rPr>
      </w:pPr>
      <w:r w:rsidRPr="00A30EA7">
        <w:rPr>
          <w:rFonts w:cs="Arial"/>
          <w:color w:val="7F7F7F" w:themeColor="text1" w:themeTint="80"/>
          <w:sz w:val="24"/>
        </w:rPr>
        <w:t xml:space="preserve">In Uplawmoor Primary assessment is planned as part of learning and teaching as these are </w:t>
      </w:r>
      <w:proofErr w:type="gramStart"/>
      <w:r w:rsidRPr="00A30EA7">
        <w:rPr>
          <w:rFonts w:cs="Arial"/>
          <w:color w:val="7F7F7F" w:themeColor="text1" w:themeTint="80"/>
          <w:sz w:val="24"/>
        </w:rPr>
        <w:t>inextricably</w:t>
      </w:r>
      <w:proofErr w:type="gramEnd"/>
      <w:r w:rsidRPr="00A30EA7">
        <w:rPr>
          <w:rFonts w:cs="Arial"/>
          <w:color w:val="7F7F7F" w:themeColor="text1" w:themeTint="80"/>
          <w:sz w:val="24"/>
        </w:rPr>
        <w:t xml:space="preserve"> linked, with each one informing the others.  Evidence is gathered from across significant aspects of learning in a holistic way which provides robust, valid and reliable assessment information rather than assessment based on evidence from a single learning experience or one-off piece of work.  The range of evidence gathered supports teachers in reaching a judgement of where children are in their learning.   </w:t>
      </w:r>
      <w:r w:rsidRPr="00A30EA7">
        <w:rPr>
          <w:rFonts w:cs="Arial"/>
          <w:color w:val="7F7F7F" w:themeColor="text1" w:themeTint="80"/>
          <w:sz w:val="24"/>
          <w:lang w:eastAsia="en-GB"/>
        </w:rPr>
        <w:t>The range of information and evidence gathered is used to monitor and track progress and achievement - a key aspect of raising attainment.  Through tracking and monitoring meetings, we ensure that the pace of learning is appropriate for each learner.  Research in assessment suggests that learners learn best, and at</w:t>
      </w:r>
      <w:r w:rsidR="00B66B4D">
        <w:rPr>
          <w:rFonts w:cs="Arial"/>
          <w:color w:val="7F7F7F" w:themeColor="text1" w:themeTint="80"/>
          <w:sz w:val="24"/>
          <w:lang w:eastAsia="en-GB"/>
        </w:rPr>
        <w:t>tainment improves, when they</w:t>
      </w:r>
      <w:r w:rsidRPr="00A30EA7">
        <w:rPr>
          <w:rFonts w:cs="Arial"/>
          <w:color w:val="7F7F7F" w:themeColor="text1" w:themeTint="80"/>
          <w:sz w:val="24"/>
          <w:lang w:eastAsia="en-GB"/>
        </w:rPr>
        <w:t>:</w:t>
      </w:r>
    </w:p>
    <w:p w14:paraId="7EB7DB5F" w14:textId="77777777" w:rsidR="00A30EA7" w:rsidRPr="00A30EA7" w:rsidRDefault="00A30EA7" w:rsidP="00A30EA7">
      <w:pPr>
        <w:numPr>
          <w:ilvl w:val="0"/>
          <w:numId w:val="41"/>
        </w:numPr>
        <w:spacing w:after="200"/>
        <w:ind w:left="714" w:hanging="357"/>
        <w:rPr>
          <w:rFonts w:cs="Arial"/>
          <w:color w:val="7F7F7F" w:themeColor="text1" w:themeTint="80"/>
          <w:sz w:val="24"/>
          <w:lang w:eastAsia="en-GB"/>
        </w:rPr>
      </w:pPr>
      <w:r w:rsidRPr="00A30EA7">
        <w:rPr>
          <w:rFonts w:cs="Arial"/>
          <w:color w:val="7F7F7F" w:themeColor="text1" w:themeTint="80"/>
          <w:sz w:val="24"/>
          <w:lang w:eastAsia="en-GB"/>
        </w:rPr>
        <w:t>understand clearly what they are trying to learn, and what is expected of them;</w:t>
      </w:r>
    </w:p>
    <w:p w14:paraId="6E67D288" w14:textId="77777777" w:rsidR="00A30EA7" w:rsidRPr="00A30EA7" w:rsidRDefault="00A30EA7" w:rsidP="00A30EA7">
      <w:pPr>
        <w:numPr>
          <w:ilvl w:val="0"/>
          <w:numId w:val="41"/>
        </w:numPr>
        <w:spacing w:after="200"/>
        <w:ind w:left="714" w:hanging="357"/>
        <w:rPr>
          <w:rFonts w:cs="Arial"/>
          <w:color w:val="7F7F7F" w:themeColor="text1" w:themeTint="80"/>
          <w:sz w:val="24"/>
          <w:lang w:eastAsia="en-GB"/>
        </w:rPr>
      </w:pPr>
      <w:r w:rsidRPr="00A30EA7">
        <w:rPr>
          <w:rFonts w:cs="Arial"/>
          <w:color w:val="7F7F7F" w:themeColor="text1" w:themeTint="80"/>
          <w:sz w:val="24"/>
          <w:lang w:eastAsia="en-GB"/>
        </w:rPr>
        <w:t>are given feedback about the quality of their work, and what they can do to make it better;</w:t>
      </w:r>
    </w:p>
    <w:p w14:paraId="20049189" w14:textId="77777777" w:rsidR="00A30EA7" w:rsidRPr="00A30EA7" w:rsidRDefault="00A30EA7" w:rsidP="00A30EA7">
      <w:pPr>
        <w:numPr>
          <w:ilvl w:val="0"/>
          <w:numId w:val="41"/>
        </w:numPr>
        <w:spacing w:after="200"/>
        <w:ind w:left="714" w:hanging="357"/>
        <w:rPr>
          <w:rFonts w:cs="Arial"/>
          <w:color w:val="7F7F7F" w:themeColor="text1" w:themeTint="80"/>
          <w:sz w:val="24"/>
          <w:lang w:eastAsia="en-GB"/>
        </w:rPr>
      </w:pPr>
      <w:r w:rsidRPr="00A30EA7">
        <w:rPr>
          <w:rFonts w:cs="Arial"/>
          <w:color w:val="7F7F7F" w:themeColor="text1" w:themeTint="80"/>
          <w:sz w:val="24"/>
          <w:lang w:eastAsia="en-GB"/>
        </w:rPr>
        <w:t>are given advice about how to go about making improvements;</w:t>
      </w:r>
    </w:p>
    <w:p w14:paraId="1D25E6BB" w14:textId="5DFB4ED4" w:rsidR="00A30EA7" w:rsidRPr="00A30EA7" w:rsidRDefault="00A30EA7" w:rsidP="00A30EA7">
      <w:pPr>
        <w:numPr>
          <w:ilvl w:val="0"/>
          <w:numId w:val="41"/>
        </w:numPr>
        <w:spacing w:after="200"/>
        <w:ind w:left="714" w:hanging="357"/>
        <w:rPr>
          <w:rFonts w:cs="Arial"/>
          <w:color w:val="7F7F7F" w:themeColor="text1" w:themeTint="80"/>
          <w:sz w:val="24"/>
          <w:lang w:eastAsia="en-GB"/>
        </w:rPr>
      </w:pPr>
      <w:proofErr w:type="gramStart"/>
      <w:r w:rsidRPr="00A30EA7">
        <w:rPr>
          <w:rFonts w:cs="Arial"/>
          <w:color w:val="7F7F7F" w:themeColor="text1" w:themeTint="80"/>
          <w:sz w:val="24"/>
          <w:lang w:eastAsia="en-GB"/>
        </w:rPr>
        <w:t>are</w:t>
      </w:r>
      <w:proofErr w:type="gramEnd"/>
      <w:r w:rsidRPr="00A30EA7">
        <w:rPr>
          <w:rFonts w:cs="Arial"/>
          <w:color w:val="7F7F7F" w:themeColor="text1" w:themeTint="80"/>
          <w:sz w:val="24"/>
          <w:lang w:eastAsia="en-GB"/>
        </w:rPr>
        <w:t xml:space="preserve"> fully involved in deciding what needs to be done next, and who can give them help if they need it.</w:t>
      </w:r>
    </w:p>
    <w:p w14:paraId="5211483C" w14:textId="77777777" w:rsidR="00A30EA7" w:rsidRPr="00A30EA7" w:rsidRDefault="00A30EA7" w:rsidP="00A30EA7">
      <w:pPr>
        <w:pStyle w:val="NormalWeb"/>
        <w:spacing w:before="0" w:beforeAutospacing="0" w:after="0" w:afterAutospacing="0"/>
        <w:rPr>
          <w:rFonts w:ascii="Arial" w:hAnsi="Arial" w:cs="Arial"/>
          <w:b/>
          <w:color w:val="7F7F7F" w:themeColor="text1" w:themeTint="80"/>
        </w:rPr>
      </w:pPr>
    </w:p>
    <w:p w14:paraId="3B3BB255" w14:textId="77777777" w:rsidR="00C90652" w:rsidRPr="00A30EA7" w:rsidRDefault="00C90652" w:rsidP="00A30EA7">
      <w:pPr>
        <w:pStyle w:val="NormalWeb"/>
        <w:spacing w:before="0" w:beforeAutospacing="0" w:after="0" w:afterAutospacing="0"/>
        <w:rPr>
          <w:rFonts w:ascii="Arial" w:hAnsi="Arial" w:cs="Arial"/>
          <w:b/>
          <w:color w:val="7F7F7F" w:themeColor="text1" w:themeTint="80"/>
        </w:rPr>
      </w:pPr>
      <w:r w:rsidRPr="00A30EA7">
        <w:rPr>
          <w:rFonts w:ascii="Arial" w:hAnsi="Arial" w:cs="Arial"/>
          <w:b/>
          <w:color w:val="7F7F7F" w:themeColor="text1" w:themeTint="80"/>
        </w:rPr>
        <w:t>Homework</w:t>
      </w:r>
    </w:p>
    <w:p w14:paraId="694C6CBB" w14:textId="1DB280CD" w:rsidR="00B66B4D" w:rsidRPr="00B66B4D" w:rsidRDefault="00B66B4D" w:rsidP="00B66B4D">
      <w:pPr>
        <w:spacing w:after="200"/>
        <w:rPr>
          <w:rFonts w:cs="Arial"/>
          <w:b/>
          <w:color w:val="7F7F7F" w:themeColor="text1" w:themeTint="80"/>
          <w:sz w:val="24"/>
        </w:rPr>
      </w:pPr>
      <w:r>
        <w:rPr>
          <w:rFonts w:cs="Arial"/>
          <w:b/>
          <w:bCs/>
          <w:color w:val="7F7F7F" w:themeColor="text1" w:themeTint="80"/>
          <w:sz w:val="24"/>
          <w:u w:val="single"/>
        </w:rPr>
        <w:br/>
      </w:r>
      <w:r w:rsidR="00C90652" w:rsidRPr="00A30EA7">
        <w:rPr>
          <w:rFonts w:cs="Arial"/>
          <w:b/>
          <w:color w:val="7F7F7F" w:themeColor="text1" w:themeTint="80"/>
          <w:sz w:val="24"/>
        </w:rPr>
        <w:t>Lesson structure</w:t>
      </w:r>
    </w:p>
    <w:p w14:paraId="33F42FA1" w14:textId="06545162" w:rsidR="00B66B4D" w:rsidRPr="00B66B4D" w:rsidRDefault="00B66B4D" w:rsidP="00B66B4D">
      <w:pPr>
        <w:rPr>
          <w:rFonts w:cs="Arial"/>
          <w:color w:val="7F7F7F" w:themeColor="text1" w:themeTint="80"/>
          <w:sz w:val="24"/>
        </w:rPr>
      </w:pPr>
      <w:r>
        <w:rPr>
          <w:rFonts w:cs="Arial"/>
          <w:color w:val="7F7F7F" w:themeColor="text1" w:themeTint="80"/>
          <w:sz w:val="24"/>
        </w:rPr>
        <w:t>Numerac</w:t>
      </w:r>
      <w:r w:rsidRPr="00B66B4D">
        <w:rPr>
          <w:rFonts w:cs="Arial"/>
          <w:color w:val="7F7F7F" w:themeColor="text1" w:themeTint="80"/>
          <w:sz w:val="24"/>
        </w:rPr>
        <w:t>y and Maths teaching today aims to help learners develop a range of strategies to enable them to solve problems in the most efficient way and in a way that they understand.  Teaching is often very practical with a high focus on mental calculation and where pupils are encouraged to discuss their thinking and reasoning with their peers and their teacher.</w:t>
      </w:r>
    </w:p>
    <w:p w14:paraId="39D40A55" w14:textId="77777777" w:rsidR="00B66B4D" w:rsidRPr="00B66B4D" w:rsidRDefault="00B66B4D" w:rsidP="00B66B4D">
      <w:pPr>
        <w:rPr>
          <w:rFonts w:cs="Arial"/>
          <w:color w:val="7F7F7F" w:themeColor="text1" w:themeTint="80"/>
          <w:sz w:val="24"/>
        </w:rPr>
      </w:pPr>
    </w:p>
    <w:p w14:paraId="169D265D" w14:textId="77777777" w:rsidR="00B66B4D" w:rsidRPr="00B66B4D" w:rsidRDefault="00B66B4D" w:rsidP="00B66B4D">
      <w:pPr>
        <w:rPr>
          <w:rFonts w:cs="Arial"/>
          <w:color w:val="7F7F7F" w:themeColor="text1" w:themeTint="80"/>
          <w:sz w:val="24"/>
        </w:rPr>
      </w:pPr>
      <w:r w:rsidRPr="00B66B4D">
        <w:rPr>
          <w:rFonts w:cs="Arial"/>
          <w:color w:val="7F7F7F" w:themeColor="text1" w:themeTint="80"/>
          <w:sz w:val="24"/>
        </w:rPr>
        <w:t>It differs from teaching in the past when a topic such as subtraction using tens and units was taught in just one way, whether it was the best method to use or not.   From the earliest days, your child will be encouraged to learn and use the language of mathematics.  This is particularly important in problem solving when words such as total, make, score, and altogether may be used instead of equals.  You can help your child with this by playing 'Give me another word for ...</w:t>
      </w:r>
      <w:proofErr w:type="gramStart"/>
      <w:r w:rsidRPr="00B66B4D">
        <w:rPr>
          <w:rFonts w:cs="Arial"/>
          <w:color w:val="7F7F7F" w:themeColor="text1" w:themeTint="80"/>
          <w:sz w:val="24"/>
        </w:rPr>
        <w:t>'  E.g</w:t>
      </w:r>
      <w:proofErr w:type="gramEnd"/>
      <w:r w:rsidRPr="00B66B4D">
        <w:rPr>
          <w:rFonts w:cs="Arial"/>
          <w:color w:val="7F7F7F" w:themeColor="text1" w:themeTint="80"/>
          <w:sz w:val="24"/>
        </w:rPr>
        <w:t>. try with rectangle, narrow, take away, circle, divide, above, share.  As your child becomes proficient ask for two or more alternative words.</w:t>
      </w:r>
    </w:p>
    <w:p w14:paraId="5602EFC9" w14:textId="77777777" w:rsidR="00B66B4D" w:rsidRDefault="00B66B4D" w:rsidP="00B66B4D">
      <w:pPr>
        <w:jc w:val="both"/>
        <w:rPr>
          <w:rFonts w:cs="Arial"/>
          <w:color w:val="7F7F7F" w:themeColor="text1" w:themeTint="80"/>
          <w:sz w:val="24"/>
        </w:rPr>
      </w:pPr>
    </w:p>
    <w:p w14:paraId="3DC28F45" w14:textId="3632D88A" w:rsidR="00B66B4D" w:rsidRPr="00B66B4D" w:rsidRDefault="00B66B4D" w:rsidP="00B66B4D">
      <w:pPr>
        <w:rPr>
          <w:rFonts w:cs="Arial"/>
          <w:color w:val="7F7F7F" w:themeColor="text1" w:themeTint="80"/>
          <w:sz w:val="24"/>
        </w:rPr>
      </w:pPr>
      <w:r>
        <w:rPr>
          <w:rFonts w:cs="Arial"/>
          <w:color w:val="7F7F7F" w:themeColor="text1" w:themeTint="80"/>
          <w:sz w:val="24"/>
        </w:rPr>
        <w:t>N</w:t>
      </w:r>
      <w:r w:rsidRPr="00B66B4D">
        <w:rPr>
          <w:rFonts w:cs="Arial"/>
          <w:color w:val="7F7F7F" w:themeColor="text1" w:themeTint="80"/>
          <w:sz w:val="24"/>
        </w:rPr>
        <w:t>umeracy and mathematics sessio</w:t>
      </w:r>
      <w:r>
        <w:rPr>
          <w:rFonts w:cs="Arial"/>
          <w:color w:val="7F7F7F" w:themeColor="text1" w:themeTint="80"/>
          <w:sz w:val="24"/>
        </w:rPr>
        <w:t xml:space="preserve">n include Number Talks which provide </w:t>
      </w:r>
      <w:r w:rsidRPr="00B66B4D">
        <w:rPr>
          <w:rFonts w:cs="Arial"/>
          <w:color w:val="7F7F7F" w:themeColor="text1" w:themeTint="80"/>
          <w:sz w:val="24"/>
        </w:rPr>
        <w:t xml:space="preserve">opportunities </w:t>
      </w:r>
      <w:r>
        <w:rPr>
          <w:rFonts w:cs="Arial"/>
          <w:color w:val="7F7F7F" w:themeColor="text1" w:themeTint="80"/>
          <w:sz w:val="24"/>
        </w:rPr>
        <w:t>for children</w:t>
      </w:r>
      <w:r w:rsidRPr="00B66B4D">
        <w:rPr>
          <w:rFonts w:cs="Arial"/>
          <w:color w:val="7F7F7F" w:themeColor="text1" w:themeTint="80"/>
          <w:sz w:val="24"/>
        </w:rPr>
        <w:t xml:space="preserve"> to articulate their mathematical thinking, practise skills, discuss alternative mental methods and be shown how to use a range of approaches.   Learners are encouraged to learn t</w:t>
      </w:r>
      <w:r>
        <w:rPr>
          <w:rFonts w:cs="Arial"/>
          <w:color w:val="7F7F7F" w:themeColor="text1" w:themeTint="80"/>
          <w:sz w:val="24"/>
        </w:rPr>
        <w:t xml:space="preserve">ables and number bonds </w:t>
      </w:r>
      <w:r w:rsidRPr="00B66B4D">
        <w:rPr>
          <w:rFonts w:cs="Arial"/>
          <w:color w:val="7F7F7F" w:themeColor="text1" w:themeTint="80"/>
          <w:sz w:val="24"/>
        </w:rPr>
        <w:t>and use these known facts to solve other problems.  Halving and doubling, rounding up or down, counting on and back, knowing the squares of numbers and recognising prime numbers are just some of the skills developed during mental maths sessions.</w:t>
      </w:r>
    </w:p>
    <w:p w14:paraId="37561E57" w14:textId="2D3E629E" w:rsidR="00B66B4D" w:rsidRPr="00B66B4D" w:rsidRDefault="00B66B4D" w:rsidP="00B66B4D">
      <w:pPr>
        <w:rPr>
          <w:rFonts w:cs="Arial"/>
          <w:color w:val="7F7F7F" w:themeColor="text1" w:themeTint="80"/>
          <w:sz w:val="24"/>
        </w:rPr>
      </w:pPr>
      <w:r w:rsidRPr="00B66B4D">
        <w:rPr>
          <w:rFonts w:cs="Arial"/>
          <w:color w:val="7F7F7F" w:themeColor="text1" w:themeTint="80"/>
          <w:sz w:val="24"/>
        </w:rPr>
        <w:t>Regu</w:t>
      </w:r>
      <w:r>
        <w:rPr>
          <w:rFonts w:cs="Arial"/>
          <w:color w:val="7F7F7F" w:themeColor="text1" w:themeTint="80"/>
          <w:sz w:val="24"/>
        </w:rPr>
        <w:t>lar practice also helps children</w:t>
      </w:r>
      <w:r w:rsidRPr="00B66B4D">
        <w:rPr>
          <w:rFonts w:cs="Arial"/>
          <w:color w:val="7F7F7F" w:themeColor="text1" w:themeTint="80"/>
          <w:sz w:val="24"/>
        </w:rPr>
        <w:t xml:space="preserve"> to understand inverse operations such as 3 x 7 = 7 x 3</w:t>
      </w:r>
      <w:proofErr w:type="gramStart"/>
      <w:r w:rsidRPr="00B66B4D">
        <w:rPr>
          <w:rFonts w:cs="Arial"/>
          <w:color w:val="7F7F7F" w:themeColor="text1" w:themeTint="80"/>
          <w:sz w:val="24"/>
        </w:rPr>
        <w:t>;  13</w:t>
      </w:r>
      <w:proofErr w:type="gramEnd"/>
      <w:r w:rsidRPr="00B66B4D">
        <w:rPr>
          <w:rFonts w:cs="Arial"/>
          <w:color w:val="7F7F7F" w:themeColor="text1" w:themeTint="80"/>
          <w:sz w:val="24"/>
        </w:rPr>
        <w:t xml:space="preserve"> + 7 = 7 + 13.  Pupils are taught to picture problems in their heads then work out the best method to use.</w:t>
      </w:r>
    </w:p>
    <w:p w14:paraId="7DD6C3BF" w14:textId="77777777" w:rsidR="00B66B4D" w:rsidRPr="00B66B4D" w:rsidRDefault="00B66B4D" w:rsidP="00B66B4D">
      <w:pPr>
        <w:tabs>
          <w:tab w:val="left" w:pos="0"/>
        </w:tabs>
        <w:rPr>
          <w:rFonts w:cs="Arial"/>
          <w:color w:val="7F7F7F" w:themeColor="text1" w:themeTint="80"/>
          <w:sz w:val="24"/>
        </w:rPr>
      </w:pPr>
    </w:p>
    <w:p w14:paraId="43C886A8" w14:textId="3693F883" w:rsidR="00B66B4D" w:rsidRPr="00B66B4D" w:rsidRDefault="00B66B4D" w:rsidP="00B66B4D">
      <w:pPr>
        <w:tabs>
          <w:tab w:val="left" w:pos="0"/>
        </w:tabs>
        <w:rPr>
          <w:rFonts w:cs="Arial"/>
          <w:b/>
          <w:bCs/>
          <w:color w:val="7F7F7F" w:themeColor="text1" w:themeTint="80"/>
          <w:sz w:val="24"/>
        </w:rPr>
      </w:pPr>
      <w:r w:rsidRPr="00B66B4D">
        <w:rPr>
          <w:rFonts w:cs="Arial"/>
          <w:color w:val="7F7F7F" w:themeColor="text1" w:themeTint="80"/>
          <w:sz w:val="24"/>
        </w:rPr>
        <w:t xml:space="preserve">Asking your child to describe how he /she has solved a problem will give you an insight into whether the strategy used was an efficient one or not.  </w:t>
      </w:r>
      <w:r>
        <w:rPr>
          <w:rFonts w:cs="Arial"/>
          <w:color w:val="7F7F7F" w:themeColor="text1" w:themeTint="80"/>
          <w:sz w:val="24"/>
        </w:rPr>
        <w:t>Daily activities have a positive impact on our children</w:t>
      </w:r>
      <w:r w:rsidRPr="00B66B4D">
        <w:rPr>
          <w:rFonts w:cs="Arial"/>
          <w:color w:val="7F7F7F" w:themeColor="text1" w:themeTint="80"/>
          <w:sz w:val="24"/>
        </w:rPr>
        <w:t xml:space="preserve"> and we want this to continue.  Therefore daily activities will continue to be sent home.  </w:t>
      </w:r>
      <w:r w:rsidRPr="00B66B4D">
        <w:rPr>
          <w:rFonts w:cs="Arial"/>
          <w:b/>
          <w:color w:val="7F7F7F" w:themeColor="text1" w:themeTint="80"/>
          <w:sz w:val="24"/>
        </w:rPr>
        <w:t>Each of the questions should be read out loud to pupils to enable them to calculate answers in their heads.  The use of “traffic light” coding will</w:t>
      </w:r>
      <w:r>
        <w:rPr>
          <w:rFonts w:cs="Arial"/>
          <w:b/>
          <w:color w:val="7F7F7F" w:themeColor="text1" w:themeTint="80"/>
          <w:sz w:val="24"/>
        </w:rPr>
        <w:t xml:space="preserve"> </w:t>
      </w:r>
      <w:bookmarkStart w:id="2" w:name="_GoBack"/>
      <w:bookmarkEnd w:id="2"/>
      <w:r w:rsidRPr="00B66B4D">
        <w:rPr>
          <w:rFonts w:cs="Arial"/>
          <w:b/>
          <w:color w:val="7F7F7F" w:themeColor="text1" w:themeTint="80"/>
          <w:sz w:val="24"/>
        </w:rPr>
        <w:t>allow teachers to see which strategies need to be reinforced in class.</w:t>
      </w:r>
    </w:p>
    <w:p w14:paraId="5415752E" w14:textId="6CCDEFE5" w:rsidR="00C90652" w:rsidRPr="00A30EA7" w:rsidRDefault="00C90652" w:rsidP="00A30EA7">
      <w:pPr>
        <w:pStyle w:val="NormalWeb"/>
        <w:spacing w:before="0" w:beforeAutospacing="0" w:after="0" w:afterAutospacing="0"/>
        <w:rPr>
          <w:rFonts w:ascii="Arial" w:hAnsi="Arial" w:cs="Arial"/>
          <w:b/>
          <w:color w:val="7F7F7F" w:themeColor="text1" w:themeTint="80"/>
        </w:rPr>
      </w:pPr>
    </w:p>
    <w:p w14:paraId="563D543B" w14:textId="77777777" w:rsidR="00C90652" w:rsidRPr="00A30EA7" w:rsidRDefault="00C90652" w:rsidP="00A30EA7">
      <w:pPr>
        <w:pStyle w:val="NormalWeb"/>
        <w:spacing w:before="0" w:beforeAutospacing="0" w:after="0" w:afterAutospacing="0"/>
        <w:rPr>
          <w:rFonts w:ascii="Arial" w:hAnsi="Arial" w:cs="Arial"/>
          <w:b/>
          <w:color w:val="7F7F7F" w:themeColor="text1" w:themeTint="80"/>
        </w:rPr>
      </w:pPr>
      <w:r w:rsidRPr="00A30EA7">
        <w:rPr>
          <w:rFonts w:ascii="Arial" w:hAnsi="Arial" w:cs="Arial"/>
          <w:b/>
          <w:color w:val="7F7F7F" w:themeColor="text1" w:themeTint="80"/>
        </w:rPr>
        <w:t>Resources</w:t>
      </w:r>
    </w:p>
    <w:p w14:paraId="09D53234" w14:textId="77777777" w:rsidR="00C90652" w:rsidRPr="00A30EA7" w:rsidRDefault="00C90652" w:rsidP="00A30EA7">
      <w:pPr>
        <w:pStyle w:val="NormalWeb"/>
        <w:spacing w:before="0" w:beforeAutospacing="0" w:after="0" w:afterAutospacing="0"/>
        <w:rPr>
          <w:rFonts w:ascii="Arial" w:hAnsi="Arial" w:cs="Arial"/>
          <w:color w:val="7F7F7F" w:themeColor="text1" w:themeTint="80"/>
          <w:highlight w:val="yellow"/>
        </w:rPr>
      </w:pPr>
    </w:p>
    <w:p w14:paraId="52F3B567" w14:textId="77777777" w:rsidR="00C90652" w:rsidRPr="00A30EA7" w:rsidRDefault="00C90652" w:rsidP="00A30EA7">
      <w:pPr>
        <w:pStyle w:val="NormalWeb"/>
        <w:spacing w:before="0" w:beforeAutospacing="0" w:after="0" w:afterAutospacing="0"/>
        <w:rPr>
          <w:rFonts w:ascii="Arial" w:hAnsi="Arial" w:cs="Arial"/>
          <w:color w:val="7F7F7F" w:themeColor="text1" w:themeTint="80"/>
        </w:rPr>
      </w:pPr>
      <w:r w:rsidRPr="00A30EA7">
        <w:rPr>
          <w:rFonts w:ascii="Arial" w:hAnsi="Arial" w:cs="Arial"/>
          <w:color w:val="7F7F7F" w:themeColor="text1" w:themeTint="80"/>
          <w:highlight w:val="yellow"/>
        </w:rPr>
        <w:t>Insert establishment details here</w:t>
      </w:r>
    </w:p>
    <w:p w14:paraId="6A831951" w14:textId="77777777" w:rsidR="00C90652" w:rsidRPr="00A30EA7" w:rsidRDefault="00C90652" w:rsidP="00A30EA7">
      <w:pPr>
        <w:spacing w:after="200" w:line="276" w:lineRule="auto"/>
        <w:rPr>
          <w:rFonts w:eastAsiaTheme="minorHAnsi" w:cs="Arial"/>
          <w:b/>
          <w:color w:val="7F7F7F" w:themeColor="text1" w:themeTint="80"/>
          <w:sz w:val="24"/>
          <w:highlight w:val="yellow"/>
        </w:rPr>
      </w:pPr>
    </w:p>
    <w:p w14:paraId="426F1DA7" w14:textId="77777777" w:rsidR="00FF3C7A" w:rsidRPr="00A30EA7" w:rsidRDefault="00FF3C7A" w:rsidP="00A30EA7">
      <w:pPr>
        <w:spacing w:after="200" w:line="276" w:lineRule="auto"/>
        <w:rPr>
          <w:rFonts w:eastAsiaTheme="minorHAnsi" w:cs="Arial"/>
          <w:b/>
          <w:color w:val="7F7F7F" w:themeColor="text1" w:themeTint="80"/>
          <w:sz w:val="24"/>
        </w:rPr>
      </w:pPr>
      <w:commentRangeStart w:id="3"/>
      <w:r w:rsidRPr="00A30EA7">
        <w:rPr>
          <w:rFonts w:eastAsiaTheme="minorHAnsi" w:cs="Arial"/>
          <w:b/>
          <w:color w:val="7F7F7F" w:themeColor="text1" w:themeTint="80"/>
          <w:sz w:val="24"/>
          <w:highlight w:val="yellow"/>
        </w:rPr>
        <w:t>What is expected of stakeholders?</w:t>
      </w:r>
      <w:r w:rsidR="00C90652" w:rsidRPr="00A30EA7">
        <w:rPr>
          <w:rFonts w:eastAsiaTheme="minorHAnsi" w:cs="Arial"/>
          <w:b/>
          <w:color w:val="7F7F7F" w:themeColor="text1" w:themeTint="80"/>
          <w:sz w:val="24"/>
        </w:rPr>
        <w:t xml:space="preserve"> </w:t>
      </w:r>
      <w:commentRangeEnd w:id="3"/>
      <w:r w:rsidR="004C6917" w:rsidRPr="00A30EA7">
        <w:rPr>
          <w:rStyle w:val="CommentReference"/>
          <w:rFonts w:cs="Arial"/>
          <w:color w:val="7F7F7F" w:themeColor="text1" w:themeTint="80"/>
          <w:sz w:val="24"/>
          <w:szCs w:val="24"/>
        </w:rPr>
        <w:commentReference w:id="3"/>
      </w:r>
    </w:p>
    <w:p w14:paraId="3BD178B8" w14:textId="77777777" w:rsidR="00412B04" w:rsidRPr="00A30EA7" w:rsidRDefault="00C90652" w:rsidP="00A30EA7">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 xml:space="preserve">In order to maximise achievement and attainment in maths </w:t>
      </w:r>
      <w:r w:rsidR="00412B04" w:rsidRPr="00A30EA7">
        <w:rPr>
          <w:rFonts w:eastAsiaTheme="minorHAnsi" w:cs="Arial"/>
          <w:color w:val="7F7F7F" w:themeColor="text1" w:themeTint="80"/>
          <w:sz w:val="24"/>
        </w:rPr>
        <w:t xml:space="preserve">across </w:t>
      </w:r>
      <w:r w:rsidRPr="00A30EA7">
        <w:rPr>
          <w:rFonts w:eastAsiaTheme="minorHAnsi" w:cs="Arial"/>
          <w:color w:val="7F7F7F" w:themeColor="text1" w:themeTint="80"/>
          <w:sz w:val="24"/>
          <w:highlight w:val="yellow"/>
        </w:rPr>
        <w:t>insert establishment name here</w:t>
      </w:r>
      <w:r w:rsidR="00412B04" w:rsidRPr="00A30EA7">
        <w:rPr>
          <w:rFonts w:eastAsiaTheme="minorHAnsi" w:cs="Arial"/>
          <w:color w:val="7F7F7F" w:themeColor="text1" w:themeTint="80"/>
          <w:sz w:val="24"/>
        </w:rPr>
        <w:t xml:space="preserve">, all stakeholders in the school community have important roles. </w:t>
      </w:r>
    </w:p>
    <w:p w14:paraId="6E10F7A5" w14:textId="77777777" w:rsidR="00D60E07" w:rsidRPr="00A30EA7" w:rsidRDefault="0045639B" w:rsidP="00A30EA7">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M</w:t>
      </w:r>
      <w:r w:rsidR="00C90652" w:rsidRPr="00A30EA7">
        <w:rPr>
          <w:rFonts w:eastAsiaTheme="minorHAnsi" w:cs="Arial"/>
          <w:color w:val="7F7F7F" w:themeColor="text1" w:themeTint="80"/>
          <w:sz w:val="24"/>
        </w:rPr>
        <w:t>anagers</w:t>
      </w:r>
      <w:r w:rsidR="005834AF" w:rsidRPr="00A30EA7">
        <w:rPr>
          <w:rFonts w:eastAsiaTheme="minorHAnsi" w:cs="Arial"/>
          <w:color w:val="7F7F7F" w:themeColor="text1" w:themeTint="80"/>
          <w:sz w:val="24"/>
        </w:rPr>
        <w:t xml:space="preserve"> </w:t>
      </w:r>
      <w:r w:rsidR="00C90652" w:rsidRPr="00A30EA7">
        <w:rPr>
          <w:rFonts w:eastAsiaTheme="minorHAnsi" w:cs="Arial"/>
          <w:color w:val="7F7F7F" w:themeColor="text1" w:themeTint="80"/>
          <w:sz w:val="24"/>
        </w:rPr>
        <w:t xml:space="preserve">and maths </w:t>
      </w:r>
      <w:r w:rsidRPr="00A30EA7">
        <w:rPr>
          <w:rFonts w:eastAsiaTheme="minorHAnsi" w:cs="Arial"/>
          <w:color w:val="7F7F7F" w:themeColor="text1" w:themeTint="80"/>
          <w:sz w:val="24"/>
        </w:rPr>
        <w:t>leads</w:t>
      </w:r>
      <w:r w:rsidR="00C90652" w:rsidRPr="00A30EA7">
        <w:rPr>
          <w:rFonts w:eastAsiaTheme="minorHAnsi" w:cs="Arial"/>
          <w:color w:val="7F7F7F" w:themeColor="text1" w:themeTint="80"/>
          <w:sz w:val="24"/>
        </w:rPr>
        <w:t xml:space="preserve"> </w:t>
      </w:r>
      <w:r w:rsidR="00D60E07" w:rsidRPr="00A30EA7">
        <w:rPr>
          <w:rFonts w:eastAsiaTheme="minorHAnsi" w:cs="Arial"/>
          <w:color w:val="7F7F7F" w:themeColor="text1" w:themeTint="80"/>
          <w:sz w:val="24"/>
        </w:rPr>
        <w:t xml:space="preserve">at </w:t>
      </w:r>
      <w:r w:rsidR="00C90652" w:rsidRPr="00A30EA7">
        <w:rPr>
          <w:rFonts w:eastAsiaTheme="minorHAnsi" w:cs="Arial"/>
          <w:color w:val="7F7F7F" w:themeColor="text1" w:themeTint="80"/>
          <w:sz w:val="24"/>
          <w:highlight w:val="yellow"/>
        </w:rPr>
        <w:t>insert establishment name here</w:t>
      </w:r>
      <w:r w:rsidR="00D60E07" w:rsidRPr="00A30EA7">
        <w:rPr>
          <w:rFonts w:eastAsiaTheme="minorHAnsi" w:cs="Arial"/>
          <w:color w:val="7F7F7F" w:themeColor="text1" w:themeTint="80"/>
          <w:sz w:val="24"/>
        </w:rPr>
        <w:t xml:space="preserve"> will: </w:t>
      </w:r>
    </w:p>
    <w:p w14:paraId="1BF955C0" w14:textId="77777777" w:rsidR="00D60E07" w:rsidRPr="00A30EA7" w:rsidRDefault="00D60E07"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continue to provide and support quality career-long professional learning opportunities for staff in </w:t>
      </w:r>
      <w:r w:rsidR="0045639B" w:rsidRPr="00A30EA7">
        <w:rPr>
          <w:rFonts w:ascii="Arial" w:eastAsiaTheme="minorHAnsi" w:hAnsi="Arial" w:cs="Arial"/>
          <w:color w:val="7F7F7F" w:themeColor="text1" w:themeTint="80"/>
          <w:sz w:val="24"/>
          <w:szCs w:val="24"/>
        </w:rPr>
        <w:t>pedagogy and practice in maths</w:t>
      </w:r>
      <w:r w:rsidRPr="00A30EA7">
        <w:rPr>
          <w:rFonts w:ascii="Arial" w:eastAsiaTheme="minorHAnsi" w:hAnsi="Arial" w:cs="Arial"/>
          <w:color w:val="7F7F7F" w:themeColor="text1" w:themeTint="80"/>
          <w:sz w:val="24"/>
          <w:szCs w:val="24"/>
        </w:rPr>
        <w:t>, including sharing of best practice</w:t>
      </w:r>
      <w:r w:rsidR="002C61F4" w:rsidRPr="00A30EA7">
        <w:rPr>
          <w:rFonts w:ascii="Arial" w:eastAsiaTheme="minorHAnsi" w:hAnsi="Arial" w:cs="Arial"/>
          <w:color w:val="7F7F7F" w:themeColor="text1" w:themeTint="80"/>
          <w:sz w:val="24"/>
          <w:szCs w:val="24"/>
        </w:rPr>
        <w:t xml:space="preserve"> at school level</w:t>
      </w:r>
    </w:p>
    <w:p w14:paraId="475B744D" w14:textId="70FA3CDA" w:rsidR="002C61F4" w:rsidRPr="00A30EA7" w:rsidRDefault="002C61F4"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support the sharing of best practice in </w:t>
      </w:r>
      <w:r w:rsidR="0045639B" w:rsidRPr="00A30EA7">
        <w:rPr>
          <w:rFonts w:ascii="Arial" w:eastAsiaTheme="minorHAnsi" w:hAnsi="Arial" w:cs="Arial"/>
          <w:color w:val="7F7F7F" w:themeColor="text1" w:themeTint="80"/>
          <w:sz w:val="24"/>
          <w:szCs w:val="24"/>
        </w:rPr>
        <w:t xml:space="preserve">numeracy and maths </w:t>
      </w:r>
      <w:r w:rsidRPr="00A30EA7">
        <w:rPr>
          <w:rFonts w:ascii="Arial" w:eastAsiaTheme="minorHAnsi" w:hAnsi="Arial" w:cs="Arial"/>
          <w:color w:val="7F7F7F" w:themeColor="text1" w:themeTint="80"/>
          <w:sz w:val="24"/>
          <w:szCs w:val="24"/>
        </w:rPr>
        <w:t>at cluster and local authority level</w:t>
      </w:r>
    </w:p>
    <w:p w14:paraId="4AFD7A8B" w14:textId="6B1EFF6D" w:rsidR="00632F43" w:rsidRPr="00A30EA7" w:rsidRDefault="00632F43"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facilitate and support the moderation of numeracy and maths at school, cluster and local authority level</w:t>
      </w:r>
    </w:p>
    <w:p w14:paraId="1A8987BD" w14:textId="77777777" w:rsidR="00E65C8C" w:rsidRPr="00A30EA7" w:rsidRDefault="00D60E07"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ensure the quality</w:t>
      </w:r>
      <w:r w:rsidR="0045639B" w:rsidRPr="00A30EA7">
        <w:rPr>
          <w:rFonts w:ascii="Arial" w:eastAsiaTheme="minorHAnsi" w:hAnsi="Arial" w:cs="Arial"/>
          <w:color w:val="7F7F7F" w:themeColor="text1" w:themeTint="80"/>
          <w:sz w:val="24"/>
          <w:szCs w:val="24"/>
        </w:rPr>
        <w:t>, progression and pace</w:t>
      </w:r>
      <w:r w:rsidRPr="00A30EA7">
        <w:rPr>
          <w:rFonts w:ascii="Arial" w:eastAsiaTheme="minorHAnsi" w:hAnsi="Arial" w:cs="Arial"/>
          <w:color w:val="7F7F7F" w:themeColor="text1" w:themeTint="80"/>
          <w:sz w:val="24"/>
          <w:szCs w:val="24"/>
        </w:rPr>
        <w:t xml:space="preserve"> of </w:t>
      </w:r>
      <w:r w:rsidR="0045639B" w:rsidRPr="00A30EA7">
        <w:rPr>
          <w:rFonts w:ascii="Arial" w:eastAsiaTheme="minorHAnsi" w:hAnsi="Arial" w:cs="Arial"/>
          <w:color w:val="7F7F7F" w:themeColor="text1" w:themeTint="80"/>
          <w:sz w:val="24"/>
          <w:szCs w:val="24"/>
        </w:rPr>
        <w:t>numeracy and maths</w:t>
      </w:r>
      <w:r w:rsidR="005834AF" w:rsidRPr="00A30EA7">
        <w:rPr>
          <w:rFonts w:ascii="Arial" w:eastAsiaTheme="minorHAnsi" w:hAnsi="Arial" w:cs="Arial"/>
          <w:color w:val="7F7F7F" w:themeColor="text1" w:themeTint="80"/>
          <w:sz w:val="24"/>
          <w:szCs w:val="24"/>
        </w:rPr>
        <w:t xml:space="preserve"> delivery</w:t>
      </w:r>
      <w:r w:rsidRPr="00A30EA7">
        <w:rPr>
          <w:rFonts w:ascii="Arial" w:eastAsiaTheme="minorHAnsi" w:hAnsi="Arial" w:cs="Arial"/>
          <w:color w:val="7F7F7F" w:themeColor="text1" w:themeTint="80"/>
          <w:sz w:val="24"/>
          <w:szCs w:val="24"/>
        </w:rPr>
        <w:t xml:space="preserve"> through monitoring and tracking meetings, professional dialogues and planning meetings</w:t>
      </w:r>
    </w:p>
    <w:p w14:paraId="2929285E" w14:textId="77777777" w:rsidR="00E65C8C" w:rsidRPr="00A30EA7" w:rsidRDefault="0045639B"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ensure consistent partnerships with parents</w:t>
      </w:r>
    </w:p>
    <w:p w14:paraId="2AFE554C" w14:textId="77777777" w:rsidR="0045639B" w:rsidRPr="00A30EA7" w:rsidRDefault="0045639B" w:rsidP="00A30EA7">
      <w:pPr>
        <w:pStyle w:val="ListParagraph"/>
        <w:numPr>
          <w:ilvl w:val="0"/>
          <w:numId w:val="25"/>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provide access to suitable resources through procurement and management of concrete and digital materials</w:t>
      </w:r>
    </w:p>
    <w:p w14:paraId="7A1B1275" w14:textId="77777777" w:rsidR="00FF3C7A" w:rsidRPr="00A30EA7" w:rsidRDefault="00FF3C7A" w:rsidP="00A30EA7">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Our teachers</w:t>
      </w:r>
      <w:r w:rsidR="00D60E07" w:rsidRPr="00A30EA7">
        <w:rPr>
          <w:rFonts w:eastAsiaTheme="minorHAnsi" w:cs="Arial"/>
          <w:color w:val="7F7F7F" w:themeColor="text1" w:themeTint="80"/>
          <w:sz w:val="24"/>
        </w:rPr>
        <w:t xml:space="preserve"> </w:t>
      </w:r>
      <w:r w:rsidR="005834AF" w:rsidRPr="00A30EA7">
        <w:rPr>
          <w:rFonts w:eastAsiaTheme="minorHAnsi" w:cs="Arial"/>
          <w:color w:val="7F7F7F" w:themeColor="text1" w:themeTint="80"/>
          <w:sz w:val="24"/>
        </w:rPr>
        <w:t xml:space="preserve">and support staff </w:t>
      </w:r>
      <w:r w:rsidR="00D60E07" w:rsidRPr="00A30EA7">
        <w:rPr>
          <w:rFonts w:eastAsiaTheme="minorHAnsi" w:cs="Arial"/>
          <w:color w:val="7F7F7F" w:themeColor="text1" w:themeTint="80"/>
          <w:sz w:val="24"/>
        </w:rPr>
        <w:t>will</w:t>
      </w:r>
      <w:r w:rsidRPr="00A30EA7">
        <w:rPr>
          <w:rFonts w:eastAsiaTheme="minorHAnsi" w:cs="Arial"/>
          <w:color w:val="7F7F7F" w:themeColor="text1" w:themeTint="80"/>
          <w:sz w:val="24"/>
        </w:rPr>
        <w:t>:</w:t>
      </w:r>
    </w:p>
    <w:p w14:paraId="7BA00823" w14:textId="77777777" w:rsidR="00FF3C7A" w:rsidRPr="00A30EA7" w:rsidRDefault="00D60E07"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continue to undergo professional development in </w:t>
      </w:r>
      <w:r w:rsidR="0045639B" w:rsidRPr="00A30EA7">
        <w:rPr>
          <w:rFonts w:ascii="Arial" w:eastAsiaTheme="minorHAnsi" w:hAnsi="Arial" w:cs="Arial"/>
          <w:color w:val="7F7F7F" w:themeColor="text1" w:themeTint="80"/>
          <w:sz w:val="24"/>
          <w:szCs w:val="24"/>
        </w:rPr>
        <w:t>numeracy and maths</w:t>
      </w:r>
      <w:r w:rsidRPr="00A30EA7">
        <w:rPr>
          <w:rFonts w:ascii="Arial" w:eastAsiaTheme="minorHAnsi" w:hAnsi="Arial" w:cs="Arial"/>
          <w:color w:val="7F7F7F" w:themeColor="text1" w:themeTint="80"/>
          <w:sz w:val="24"/>
          <w:szCs w:val="24"/>
        </w:rPr>
        <w:t xml:space="preserve"> through training and routine sharing of best practice</w:t>
      </w:r>
    </w:p>
    <w:p w14:paraId="45652DD0" w14:textId="77777777" w:rsidR="00C31460" w:rsidRPr="00A30EA7" w:rsidRDefault="00C31460"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plan, lead and deliver </w:t>
      </w:r>
      <w:r w:rsidR="0045639B" w:rsidRPr="00A30EA7">
        <w:rPr>
          <w:rFonts w:ascii="Arial" w:eastAsiaTheme="minorHAnsi" w:hAnsi="Arial" w:cs="Arial"/>
          <w:color w:val="7F7F7F" w:themeColor="text1" w:themeTint="80"/>
          <w:sz w:val="24"/>
          <w:szCs w:val="24"/>
        </w:rPr>
        <w:t>high quality learning experiences within numeracy and maths and across the curriculum that develop conceptual understanding, build fluency and allow the application of skills</w:t>
      </w:r>
    </w:p>
    <w:p w14:paraId="559B4B38" w14:textId="77777777" w:rsidR="0045639B" w:rsidRPr="00A30EA7" w:rsidRDefault="0045639B"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provide clear and consistent feedback to learners and parents on progress and next steps</w:t>
      </w:r>
    </w:p>
    <w:p w14:paraId="41A18833" w14:textId="77777777" w:rsidR="00D60E07" w:rsidRPr="00A30EA7" w:rsidRDefault="00C31460"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monitor the quality of </w:t>
      </w:r>
      <w:r w:rsidR="0045639B" w:rsidRPr="00A30EA7">
        <w:rPr>
          <w:rFonts w:ascii="Arial" w:eastAsiaTheme="minorHAnsi" w:hAnsi="Arial" w:cs="Arial"/>
          <w:color w:val="7F7F7F" w:themeColor="text1" w:themeTint="80"/>
          <w:sz w:val="24"/>
          <w:szCs w:val="24"/>
        </w:rPr>
        <w:t xml:space="preserve">numeracy and maths experiences </w:t>
      </w:r>
      <w:r w:rsidRPr="00A30EA7">
        <w:rPr>
          <w:rFonts w:ascii="Arial" w:eastAsiaTheme="minorHAnsi" w:hAnsi="Arial" w:cs="Arial"/>
          <w:color w:val="7F7F7F" w:themeColor="text1" w:themeTint="80"/>
          <w:sz w:val="24"/>
          <w:szCs w:val="24"/>
        </w:rPr>
        <w:t>through evaluation and moderation</w:t>
      </w:r>
    </w:p>
    <w:p w14:paraId="6CF2D2BC" w14:textId="77777777" w:rsidR="00E65C8C" w:rsidRPr="00A30EA7" w:rsidRDefault="00E65C8C"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support the </w:t>
      </w:r>
      <w:r w:rsidR="0045639B" w:rsidRPr="00A30EA7">
        <w:rPr>
          <w:rFonts w:ascii="Arial" w:eastAsiaTheme="minorHAnsi" w:hAnsi="Arial" w:cs="Arial"/>
          <w:color w:val="7F7F7F" w:themeColor="text1" w:themeTint="80"/>
          <w:sz w:val="24"/>
          <w:szCs w:val="24"/>
        </w:rPr>
        <w:t>championing of numeracy and maths</w:t>
      </w:r>
      <w:r w:rsidRPr="00A30EA7">
        <w:rPr>
          <w:rFonts w:ascii="Arial" w:eastAsiaTheme="minorHAnsi" w:hAnsi="Arial" w:cs="Arial"/>
          <w:color w:val="7F7F7F" w:themeColor="text1" w:themeTint="80"/>
          <w:sz w:val="24"/>
          <w:szCs w:val="24"/>
        </w:rPr>
        <w:t xml:space="preserve"> by providing representatives from the staff team</w:t>
      </w:r>
      <w:r w:rsidR="0045639B" w:rsidRPr="00A30EA7">
        <w:rPr>
          <w:rFonts w:ascii="Arial" w:eastAsiaTheme="minorHAnsi" w:hAnsi="Arial" w:cs="Arial"/>
          <w:color w:val="7F7F7F" w:themeColor="text1" w:themeTint="80"/>
          <w:sz w:val="24"/>
          <w:szCs w:val="24"/>
        </w:rPr>
        <w:t xml:space="preserve"> in this role</w:t>
      </w:r>
    </w:p>
    <w:p w14:paraId="0EB07354" w14:textId="3AEB53CA" w:rsidR="00C80699" w:rsidRPr="00A30EA7" w:rsidRDefault="00C80699" w:rsidP="00A30EA7">
      <w:pPr>
        <w:pStyle w:val="ListParagraph"/>
        <w:numPr>
          <w:ilvl w:val="0"/>
          <w:numId w:val="26"/>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promote maths as an essential skills for life</w:t>
      </w:r>
      <w:r w:rsidR="00632F43" w:rsidRPr="00A30EA7">
        <w:rPr>
          <w:rFonts w:ascii="Arial" w:eastAsiaTheme="minorHAnsi" w:hAnsi="Arial" w:cs="Arial"/>
          <w:color w:val="7F7F7F" w:themeColor="text1" w:themeTint="80"/>
          <w:sz w:val="24"/>
          <w:szCs w:val="24"/>
        </w:rPr>
        <w:t xml:space="preserve"> and work, embedding quality numeracy and maths teaching in DYW approaches</w:t>
      </w:r>
    </w:p>
    <w:p w14:paraId="22451650" w14:textId="77777777" w:rsidR="00FF3C7A" w:rsidRPr="00A30EA7" w:rsidRDefault="00FF3C7A" w:rsidP="00A30EA7">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t>Our learners</w:t>
      </w:r>
      <w:r w:rsidR="00EA23CE" w:rsidRPr="00A30EA7">
        <w:rPr>
          <w:rFonts w:eastAsiaTheme="minorHAnsi" w:cs="Arial"/>
          <w:color w:val="7F7F7F" w:themeColor="text1" w:themeTint="80"/>
          <w:sz w:val="24"/>
        </w:rPr>
        <w:t xml:space="preserve"> will</w:t>
      </w:r>
      <w:r w:rsidRPr="00A30EA7">
        <w:rPr>
          <w:rFonts w:eastAsiaTheme="minorHAnsi" w:cs="Arial"/>
          <w:color w:val="7F7F7F" w:themeColor="text1" w:themeTint="80"/>
          <w:sz w:val="24"/>
        </w:rPr>
        <w:t>:</w:t>
      </w:r>
    </w:p>
    <w:p w14:paraId="4F75C8C3" w14:textId="77777777" w:rsidR="00EA23CE" w:rsidRPr="00A30EA7" w:rsidRDefault="00C80699"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demonstrate perseverance when</w:t>
      </w:r>
      <w:r w:rsidR="00EA23CE" w:rsidRPr="00A30EA7">
        <w:rPr>
          <w:rFonts w:ascii="Arial" w:eastAsiaTheme="minorHAnsi" w:hAnsi="Arial" w:cs="Arial"/>
          <w:color w:val="7F7F7F" w:themeColor="text1" w:themeTint="80"/>
          <w:sz w:val="24"/>
          <w:szCs w:val="24"/>
        </w:rPr>
        <w:t xml:space="preserve"> </w:t>
      </w:r>
      <w:r w:rsidR="002C61F4" w:rsidRPr="00A30EA7">
        <w:rPr>
          <w:rFonts w:ascii="Arial" w:eastAsiaTheme="minorHAnsi" w:hAnsi="Arial" w:cs="Arial"/>
          <w:color w:val="7F7F7F" w:themeColor="text1" w:themeTint="80"/>
          <w:sz w:val="24"/>
          <w:szCs w:val="24"/>
        </w:rPr>
        <w:t xml:space="preserve">undertaking </w:t>
      </w:r>
      <w:r w:rsidR="00EA23CE" w:rsidRPr="00A30EA7">
        <w:rPr>
          <w:rFonts w:ascii="Arial" w:eastAsiaTheme="minorHAnsi" w:hAnsi="Arial" w:cs="Arial"/>
          <w:color w:val="7F7F7F" w:themeColor="text1" w:themeTint="80"/>
          <w:sz w:val="24"/>
          <w:szCs w:val="24"/>
        </w:rPr>
        <w:t>experiences</w:t>
      </w:r>
      <w:r w:rsidRPr="00A30EA7">
        <w:rPr>
          <w:rFonts w:ascii="Arial" w:eastAsiaTheme="minorHAnsi" w:hAnsi="Arial" w:cs="Arial"/>
          <w:color w:val="7F7F7F" w:themeColor="text1" w:themeTint="80"/>
          <w:sz w:val="24"/>
          <w:szCs w:val="24"/>
        </w:rPr>
        <w:t xml:space="preserve"> within numeracy and maths and across the curriculum</w:t>
      </w:r>
      <w:r w:rsidR="00EA23CE" w:rsidRPr="00A30EA7">
        <w:rPr>
          <w:rFonts w:ascii="Arial" w:eastAsiaTheme="minorHAnsi" w:hAnsi="Arial" w:cs="Arial"/>
          <w:color w:val="7F7F7F" w:themeColor="text1" w:themeTint="80"/>
          <w:sz w:val="24"/>
          <w:szCs w:val="24"/>
        </w:rPr>
        <w:t xml:space="preserve"> </w:t>
      </w:r>
      <w:r w:rsidRPr="00A30EA7">
        <w:rPr>
          <w:rFonts w:ascii="Arial" w:eastAsiaTheme="minorHAnsi" w:hAnsi="Arial" w:cs="Arial"/>
          <w:color w:val="7F7F7F" w:themeColor="text1" w:themeTint="80"/>
          <w:sz w:val="24"/>
          <w:szCs w:val="24"/>
        </w:rPr>
        <w:t xml:space="preserve">in </w:t>
      </w:r>
      <w:r w:rsidR="00EA23CE" w:rsidRPr="00A30EA7">
        <w:rPr>
          <w:rFonts w:ascii="Arial" w:eastAsiaTheme="minorHAnsi" w:hAnsi="Arial" w:cs="Arial"/>
          <w:color w:val="7F7F7F" w:themeColor="text1" w:themeTint="80"/>
          <w:sz w:val="24"/>
          <w:szCs w:val="24"/>
        </w:rPr>
        <w:t>order to maximise on the potential for achievement</w:t>
      </w:r>
    </w:p>
    <w:p w14:paraId="74A3C88A" w14:textId="77777777" w:rsidR="00C80699" w:rsidRPr="00A30EA7" w:rsidRDefault="00C80699"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contribute to the development of a growth </w:t>
      </w:r>
      <w:proofErr w:type="spellStart"/>
      <w:r w:rsidRPr="00A30EA7">
        <w:rPr>
          <w:rFonts w:ascii="Arial" w:eastAsiaTheme="minorHAnsi" w:hAnsi="Arial" w:cs="Arial"/>
          <w:color w:val="7F7F7F" w:themeColor="text1" w:themeTint="80"/>
          <w:sz w:val="24"/>
          <w:szCs w:val="24"/>
        </w:rPr>
        <w:t>mindset</w:t>
      </w:r>
      <w:proofErr w:type="spellEnd"/>
      <w:r w:rsidRPr="00A30EA7">
        <w:rPr>
          <w:rFonts w:ascii="Arial" w:eastAsiaTheme="minorHAnsi" w:hAnsi="Arial" w:cs="Arial"/>
          <w:color w:val="7F7F7F" w:themeColor="text1" w:themeTint="80"/>
          <w:sz w:val="24"/>
          <w:szCs w:val="24"/>
        </w:rPr>
        <w:t xml:space="preserve"> culture by explaining their thinking and sharing their strategies</w:t>
      </w:r>
    </w:p>
    <w:p w14:paraId="4A513EF5" w14:textId="77777777" w:rsidR="00C80699" w:rsidRPr="00A30EA7" w:rsidRDefault="00C80699"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develop resilience in the face of challenge</w:t>
      </w:r>
    </w:p>
    <w:p w14:paraId="29E91B57" w14:textId="77777777" w:rsidR="00EA23CE" w:rsidRPr="00A30EA7" w:rsidRDefault="00EA23CE"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contribute to the monitoring and evaluation of</w:t>
      </w:r>
      <w:r w:rsidR="002C61F4" w:rsidRPr="00A30EA7">
        <w:rPr>
          <w:rFonts w:ascii="Arial" w:eastAsiaTheme="minorHAnsi" w:hAnsi="Arial" w:cs="Arial"/>
          <w:color w:val="7F7F7F" w:themeColor="text1" w:themeTint="80"/>
          <w:sz w:val="24"/>
          <w:szCs w:val="24"/>
        </w:rPr>
        <w:t xml:space="preserve"> learning experiences </w:t>
      </w:r>
      <w:r w:rsidRPr="00A30EA7">
        <w:rPr>
          <w:rFonts w:ascii="Arial" w:eastAsiaTheme="minorHAnsi" w:hAnsi="Arial" w:cs="Arial"/>
          <w:color w:val="7F7F7F" w:themeColor="text1" w:themeTint="80"/>
          <w:sz w:val="24"/>
          <w:szCs w:val="24"/>
        </w:rPr>
        <w:t>through the use of existing evaluation and reflection tools (e-portfolios, blogs</w:t>
      </w:r>
      <w:r w:rsidR="00C80699" w:rsidRPr="00A30EA7">
        <w:rPr>
          <w:rFonts w:ascii="Arial" w:eastAsiaTheme="minorHAnsi" w:hAnsi="Arial" w:cs="Arial"/>
          <w:color w:val="7F7F7F" w:themeColor="text1" w:themeTint="80"/>
          <w:sz w:val="24"/>
          <w:szCs w:val="24"/>
        </w:rPr>
        <w:t>, floor books</w:t>
      </w:r>
      <w:r w:rsidRPr="00A30EA7">
        <w:rPr>
          <w:rFonts w:ascii="Arial" w:eastAsiaTheme="minorHAnsi" w:hAnsi="Arial" w:cs="Arial"/>
          <w:color w:val="7F7F7F" w:themeColor="text1" w:themeTint="80"/>
          <w:sz w:val="24"/>
          <w:szCs w:val="24"/>
        </w:rPr>
        <w:t xml:space="preserve"> </w:t>
      </w:r>
      <w:proofErr w:type="spellStart"/>
      <w:r w:rsidRPr="00A30EA7">
        <w:rPr>
          <w:rFonts w:ascii="Arial" w:eastAsiaTheme="minorHAnsi" w:hAnsi="Arial" w:cs="Arial"/>
          <w:color w:val="7F7F7F" w:themeColor="text1" w:themeTint="80"/>
          <w:sz w:val="24"/>
          <w:szCs w:val="24"/>
        </w:rPr>
        <w:t>etc</w:t>
      </w:r>
      <w:proofErr w:type="spellEnd"/>
      <w:r w:rsidRPr="00A30EA7">
        <w:rPr>
          <w:rFonts w:ascii="Arial" w:eastAsiaTheme="minorHAnsi" w:hAnsi="Arial" w:cs="Arial"/>
          <w:color w:val="7F7F7F" w:themeColor="text1" w:themeTint="80"/>
          <w:sz w:val="24"/>
          <w:szCs w:val="24"/>
        </w:rPr>
        <w:t>)</w:t>
      </w:r>
    </w:p>
    <w:p w14:paraId="6ECAA661" w14:textId="6985F7D0" w:rsidR="00FF3C7A" w:rsidRPr="00A30EA7" w:rsidRDefault="00AC7AA8" w:rsidP="00A30EA7">
      <w:pPr>
        <w:spacing w:after="200" w:line="276" w:lineRule="auto"/>
        <w:rPr>
          <w:rFonts w:eastAsiaTheme="minorHAnsi" w:cs="Arial"/>
          <w:color w:val="7F7F7F" w:themeColor="text1" w:themeTint="80"/>
          <w:sz w:val="24"/>
        </w:rPr>
      </w:pPr>
      <w:r w:rsidRPr="00A30EA7">
        <w:rPr>
          <w:rFonts w:eastAsiaTheme="minorHAnsi" w:cs="Arial"/>
          <w:color w:val="7F7F7F" w:themeColor="text1" w:themeTint="80"/>
          <w:sz w:val="24"/>
        </w:rPr>
        <w:lastRenderedPageBreak/>
        <w:t>We ask our</w:t>
      </w:r>
      <w:r w:rsidR="00412B04" w:rsidRPr="00A30EA7">
        <w:rPr>
          <w:rFonts w:eastAsiaTheme="minorHAnsi" w:cs="Arial"/>
          <w:color w:val="7F7F7F" w:themeColor="text1" w:themeTint="80"/>
          <w:sz w:val="24"/>
        </w:rPr>
        <w:t xml:space="preserve"> parents and careers </w:t>
      </w:r>
      <w:r w:rsidRPr="00A30EA7">
        <w:rPr>
          <w:rFonts w:eastAsiaTheme="minorHAnsi" w:cs="Arial"/>
          <w:color w:val="7F7F7F" w:themeColor="text1" w:themeTint="80"/>
          <w:sz w:val="24"/>
        </w:rPr>
        <w:t>to</w:t>
      </w:r>
      <w:r w:rsidR="00FF3C7A" w:rsidRPr="00A30EA7">
        <w:rPr>
          <w:rFonts w:eastAsiaTheme="minorHAnsi" w:cs="Arial"/>
          <w:color w:val="7F7F7F" w:themeColor="text1" w:themeTint="80"/>
          <w:sz w:val="24"/>
        </w:rPr>
        <w:t>:</w:t>
      </w:r>
    </w:p>
    <w:p w14:paraId="6F5DC5E8" w14:textId="77777777" w:rsidR="00412B04" w:rsidRPr="00A30EA7" w:rsidRDefault="002C61F4"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 xml:space="preserve">encourage learners to try their best when undertaking educational experiences </w:t>
      </w:r>
      <w:r w:rsidR="00C80699" w:rsidRPr="00A30EA7">
        <w:rPr>
          <w:rFonts w:ascii="Arial" w:eastAsiaTheme="minorHAnsi" w:hAnsi="Arial" w:cs="Arial"/>
          <w:color w:val="7F7F7F" w:themeColor="text1" w:themeTint="80"/>
          <w:sz w:val="24"/>
          <w:szCs w:val="24"/>
        </w:rPr>
        <w:t>in order to m</w:t>
      </w:r>
      <w:r w:rsidRPr="00A30EA7">
        <w:rPr>
          <w:rFonts w:ascii="Arial" w:eastAsiaTheme="minorHAnsi" w:hAnsi="Arial" w:cs="Arial"/>
          <w:color w:val="7F7F7F" w:themeColor="text1" w:themeTint="80"/>
          <w:sz w:val="24"/>
          <w:szCs w:val="24"/>
        </w:rPr>
        <w:t>aximise on the potential for achievement</w:t>
      </w:r>
    </w:p>
    <w:p w14:paraId="7B7E3A0E" w14:textId="77777777" w:rsidR="00C80699" w:rsidRPr="00A30EA7" w:rsidRDefault="00C80699"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promote resilience and perseverance by sharing positive ideas about maths</w:t>
      </w:r>
    </w:p>
    <w:p w14:paraId="34863721" w14:textId="77777777" w:rsidR="00C80699" w:rsidRPr="00A30EA7" w:rsidRDefault="00C80699" w:rsidP="00A30EA7">
      <w:pPr>
        <w:pStyle w:val="ListParagraph"/>
        <w:numPr>
          <w:ilvl w:val="0"/>
          <w:numId w:val="27"/>
        </w:numPr>
        <w:rPr>
          <w:rFonts w:ascii="Arial" w:eastAsiaTheme="minorHAnsi" w:hAnsi="Arial" w:cs="Arial"/>
          <w:color w:val="7F7F7F" w:themeColor="text1" w:themeTint="80"/>
          <w:sz w:val="24"/>
          <w:szCs w:val="24"/>
        </w:rPr>
      </w:pPr>
      <w:r w:rsidRPr="00A30EA7">
        <w:rPr>
          <w:rFonts w:ascii="Arial" w:eastAsiaTheme="minorHAnsi" w:hAnsi="Arial" w:cs="Arial"/>
          <w:color w:val="7F7F7F" w:themeColor="text1" w:themeTint="80"/>
          <w:sz w:val="24"/>
          <w:szCs w:val="24"/>
        </w:rPr>
        <w:t>promote maths as an essential skills for life</w:t>
      </w:r>
    </w:p>
    <w:p w14:paraId="1BFDB333" w14:textId="77777777" w:rsidR="00FF3C7A" w:rsidRPr="00A30EA7" w:rsidRDefault="00FF3C7A" w:rsidP="00A30EA7">
      <w:pPr>
        <w:spacing w:after="200" w:line="276" w:lineRule="auto"/>
        <w:rPr>
          <w:rFonts w:eastAsiaTheme="minorHAnsi" w:cs="Arial"/>
          <w:color w:val="7F7F7F" w:themeColor="text1" w:themeTint="80"/>
          <w:sz w:val="24"/>
        </w:rPr>
      </w:pPr>
    </w:p>
    <w:p w14:paraId="6ED06691" w14:textId="77777777" w:rsidR="00045A68" w:rsidRPr="00A30EA7" w:rsidRDefault="00045A68" w:rsidP="00A30EA7">
      <w:pPr>
        <w:spacing w:after="200" w:line="276" w:lineRule="auto"/>
        <w:rPr>
          <w:rFonts w:eastAsiaTheme="minorHAnsi" w:cs="Arial"/>
          <w:color w:val="7F7F7F" w:themeColor="text1" w:themeTint="80"/>
          <w:sz w:val="24"/>
        </w:rPr>
      </w:pPr>
    </w:p>
    <w:p w14:paraId="4BFBCDF9" w14:textId="77777777" w:rsidR="00045A68" w:rsidRPr="00A30EA7" w:rsidRDefault="00045A68" w:rsidP="00A30EA7">
      <w:pPr>
        <w:spacing w:after="200" w:line="276" w:lineRule="auto"/>
        <w:rPr>
          <w:rFonts w:eastAsiaTheme="minorHAnsi" w:cs="Arial"/>
          <w:color w:val="7F7F7F" w:themeColor="text1" w:themeTint="80"/>
          <w:sz w:val="24"/>
        </w:rPr>
      </w:pPr>
    </w:p>
    <w:sectPr w:rsidR="00045A68" w:rsidRPr="00A30EA7" w:rsidSect="00260F62">
      <w:headerReference w:type="default" r:id="rId1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a Crook" w:date="2019-05-01T15:33:00Z" w:initials="OC">
    <w:p w14:paraId="5D0E37EF" w14:textId="77777777" w:rsidR="004C6917" w:rsidRDefault="004C6917">
      <w:pPr>
        <w:pStyle w:val="CommentText"/>
      </w:pPr>
      <w:r>
        <w:rPr>
          <w:rStyle w:val="CommentReference"/>
        </w:rPr>
        <w:annotationRef/>
      </w:r>
      <w:r>
        <w:t xml:space="preserve">The opening sections are taken almost word for word from ERCs guidance. </w:t>
      </w:r>
    </w:p>
  </w:comment>
  <w:comment w:id="1" w:author="Olivia Crook" w:date="2019-05-01T15:31:00Z" w:initials="OC">
    <w:p w14:paraId="0584A8D0" w14:textId="77777777" w:rsidR="004C6917" w:rsidRDefault="004C6917">
      <w:pPr>
        <w:pStyle w:val="CommentText"/>
      </w:pPr>
      <w:r>
        <w:rPr>
          <w:rStyle w:val="CommentReference"/>
        </w:rPr>
        <w:annotationRef/>
      </w:r>
      <w:r>
        <w:t xml:space="preserve">This section may be a little limited in terms of approaches, but I didn’t want it to be laborious for stakeholders to read. Key areas that are missing can be added at our next meeting or at establishment level. </w:t>
      </w:r>
    </w:p>
  </w:comment>
  <w:comment w:id="3" w:author="Olivia Crook" w:date="2019-05-01T15:30:00Z" w:initials="OC">
    <w:p w14:paraId="4D4CF6FF" w14:textId="77777777" w:rsidR="004C6917" w:rsidRDefault="004C6917">
      <w:pPr>
        <w:pStyle w:val="CommentText"/>
      </w:pPr>
      <w:r>
        <w:rPr>
          <w:rStyle w:val="CommentReference"/>
        </w:rPr>
        <w:annotationRef/>
      </w:r>
      <w:r>
        <w:t>This section is built on the notes I made at the last meeting. If there is anything glaring obvious I have left out, can you bring it to the next meeting?</w:t>
      </w:r>
    </w:p>
    <w:p w14:paraId="1CAC80C3" w14:textId="77777777" w:rsidR="004C6917" w:rsidRDefault="004C6917">
      <w:pPr>
        <w:pStyle w:val="CommentText"/>
      </w:pPr>
    </w:p>
    <w:p w14:paraId="20D47070" w14:textId="77777777" w:rsidR="004C6917" w:rsidRDefault="004C6917">
      <w:pPr>
        <w:pStyle w:val="CommentText"/>
      </w:pPr>
      <w:r>
        <w:t xml:space="preserve">Anything that doesn’t apply in your establishment, please edit.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E37EF" w15:done="0"/>
  <w15:commentEx w15:paraId="0584A8D0" w15:done="0"/>
  <w15:commentEx w15:paraId="20D470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2B32" w14:textId="77777777" w:rsidR="00342ACB" w:rsidRDefault="00342ACB">
      <w:r>
        <w:separator/>
      </w:r>
    </w:p>
  </w:endnote>
  <w:endnote w:type="continuationSeparator" w:id="0">
    <w:p w14:paraId="70B41BB3" w14:textId="77777777" w:rsidR="00342ACB" w:rsidRDefault="003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D2705" w14:textId="77777777" w:rsidR="00342ACB" w:rsidRDefault="00342ACB">
      <w:r>
        <w:separator/>
      </w:r>
    </w:p>
  </w:footnote>
  <w:footnote w:type="continuationSeparator" w:id="0">
    <w:p w14:paraId="45C10D67" w14:textId="77777777" w:rsidR="00342ACB" w:rsidRDefault="0034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4" w:type="pct"/>
      <w:tblBorders>
        <w:bottom w:val="single" w:sz="18" w:space="0" w:color="auto"/>
      </w:tblBorders>
      <w:tblCellMar>
        <w:top w:w="72" w:type="dxa"/>
        <w:left w:w="115" w:type="dxa"/>
        <w:bottom w:w="72" w:type="dxa"/>
        <w:right w:w="115" w:type="dxa"/>
      </w:tblCellMar>
      <w:tblLook w:val="04A0" w:firstRow="1" w:lastRow="0" w:firstColumn="1" w:lastColumn="0" w:noHBand="0" w:noVBand="1"/>
    </w:tblPr>
    <w:tblGrid>
      <w:gridCol w:w="4850"/>
      <w:gridCol w:w="5833"/>
    </w:tblGrid>
    <w:tr w:rsidR="00F62D12" w:rsidRPr="00997915" w14:paraId="04F8F7DE" w14:textId="77777777" w:rsidTr="00A30EA7">
      <w:trPr>
        <w:trHeight w:val="278"/>
      </w:trPr>
      <w:tc>
        <w:tcPr>
          <w:tcW w:w="2270" w:type="pct"/>
          <w:shd w:val="clear" w:color="auto" w:fill="FF0000"/>
          <w:vAlign w:val="bottom"/>
        </w:tcPr>
        <w:p w14:paraId="19B4BA67" w14:textId="7060F787" w:rsidR="00F62D12" w:rsidRPr="00A30EA7" w:rsidRDefault="00A30EA7" w:rsidP="00F62D12">
          <w:pPr>
            <w:pStyle w:val="Header"/>
            <w:jc w:val="center"/>
            <w:rPr>
              <w:rFonts w:cs="Arial"/>
              <w:b/>
              <w:color w:val="FFFFFF"/>
              <w:sz w:val="24"/>
              <w:highlight w:val="yellow"/>
              <w:lang w:val="en-GB"/>
            </w:rPr>
          </w:pPr>
          <w:r w:rsidRPr="00A30EA7">
            <w:rPr>
              <w:rFonts w:cs="Arial"/>
              <w:b/>
              <w:color w:val="FFFFFF" w:themeColor="background1"/>
              <w:sz w:val="24"/>
              <w:lang w:val="en-GB"/>
            </w:rPr>
            <w:t xml:space="preserve">Uplawmoor Primary </w:t>
          </w:r>
        </w:p>
      </w:tc>
      <w:tc>
        <w:tcPr>
          <w:tcW w:w="2730" w:type="pct"/>
          <w:shd w:val="clear" w:color="auto" w:fill="FFFFFF" w:themeFill="background1"/>
          <w:vAlign w:val="bottom"/>
        </w:tcPr>
        <w:p w14:paraId="455FBD96" w14:textId="77777777" w:rsidR="00F62D12" w:rsidRPr="00997915" w:rsidRDefault="0036791E" w:rsidP="0036791E">
          <w:pPr>
            <w:pStyle w:val="Header"/>
            <w:jc w:val="right"/>
            <w:rPr>
              <w:rFonts w:ascii="MV Boli" w:hAnsi="MV Boli" w:cs="MV Boli"/>
              <w:color w:val="76923C" w:themeColor="accent3" w:themeShade="BF"/>
              <w:sz w:val="24"/>
              <w:highlight w:val="yellow"/>
              <w:lang w:val="en-GB"/>
            </w:rPr>
          </w:pPr>
          <w:r w:rsidRPr="00A30EA7">
            <w:rPr>
              <w:b/>
              <w:bCs/>
              <w:color w:val="0070C0"/>
              <w:sz w:val="24"/>
              <w:lang w:val="en-GB"/>
            </w:rPr>
            <w:t>Numeracy and Maths Policy</w:t>
          </w:r>
        </w:p>
      </w:tc>
    </w:tr>
  </w:tbl>
  <w:p w14:paraId="5E49A0FD" w14:textId="77777777" w:rsidR="00F62D12" w:rsidRDefault="00F62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051"/>
    <w:multiLevelType w:val="hybridMultilevel"/>
    <w:tmpl w:val="46F0B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442E4"/>
    <w:multiLevelType w:val="hybridMultilevel"/>
    <w:tmpl w:val="C786F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00F8D"/>
    <w:multiLevelType w:val="hybridMultilevel"/>
    <w:tmpl w:val="8C8073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474581"/>
    <w:multiLevelType w:val="hybridMultilevel"/>
    <w:tmpl w:val="73BC4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01C5E"/>
    <w:multiLevelType w:val="hybridMultilevel"/>
    <w:tmpl w:val="DD68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B0816"/>
    <w:multiLevelType w:val="hybridMultilevel"/>
    <w:tmpl w:val="5242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CB2"/>
    <w:multiLevelType w:val="hybridMultilevel"/>
    <w:tmpl w:val="6A04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3612"/>
    <w:multiLevelType w:val="hybridMultilevel"/>
    <w:tmpl w:val="E72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43ECB"/>
    <w:multiLevelType w:val="hybridMultilevel"/>
    <w:tmpl w:val="0BE0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3F26"/>
    <w:multiLevelType w:val="hybridMultilevel"/>
    <w:tmpl w:val="B06A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528C2"/>
    <w:multiLevelType w:val="hybridMultilevel"/>
    <w:tmpl w:val="8CAC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D4219"/>
    <w:multiLevelType w:val="hybridMultilevel"/>
    <w:tmpl w:val="8410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21A3C"/>
    <w:multiLevelType w:val="hybridMultilevel"/>
    <w:tmpl w:val="31141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D612A"/>
    <w:multiLevelType w:val="hybridMultilevel"/>
    <w:tmpl w:val="B7FE3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48155F"/>
    <w:multiLevelType w:val="hybridMultilevel"/>
    <w:tmpl w:val="032E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06A1C"/>
    <w:multiLevelType w:val="hybridMultilevel"/>
    <w:tmpl w:val="F9F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50093"/>
    <w:multiLevelType w:val="hybridMultilevel"/>
    <w:tmpl w:val="7BB65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351DC"/>
    <w:multiLevelType w:val="hybridMultilevel"/>
    <w:tmpl w:val="5DE49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AB17E9"/>
    <w:multiLevelType w:val="hybridMultilevel"/>
    <w:tmpl w:val="0A58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5014"/>
    <w:multiLevelType w:val="hybridMultilevel"/>
    <w:tmpl w:val="9F1EB6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74771"/>
    <w:multiLevelType w:val="hybridMultilevel"/>
    <w:tmpl w:val="F8068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E106E"/>
    <w:multiLevelType w:val="hybridMultilevel"/>
    <w:tmpl w:val="E5F23B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D0E7C"/>
    <w:multiLevelType w:val="hybridMultilevel"/>
    <w:tmpl w:val="D980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146AB"/>
    <w:multiLevelType w:val="hybridMultilevel"/>
    <w:tmpl w:val="C040E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FB182C"/>
    <w:multiLevelType w:val="hybridMultilevel"/>
    <w:tmpl w:val="04E0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77EEB"/>
    <w:multiLevelType w:val="hybridMultilevel"/>
    <w:tmpl w:val="8F5A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C139C"/>
    <w:multiLevelType w:val="hybridMultilevel"/>
    <w:tmpl w:val="FB1851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256F3C"/>
    <w:multiLevelType w:val="hybridMultilevel"/>
    <w:tmpl w:val="40DA4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011E8"/>
    <w:multiLevelType w:val="hybridMultilevel"/>
    <w:tmpl w:val="367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E3309"/>
    <w:multiLevelType w:val="hybridMultilevel"/>
    <w:tmpl w:val="4F8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6524A"/>
    <w:multiLevelType w:val="hybridMultilevel"/>
    <w:tmpl w:val="6FCEAA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53625"/>
    <w:multiLevelType w:val="hybridMultilevel"/>
    <w:tmpl w:val="D50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34DE0"/>
    <w:multiLevelType w:val="hybridMultilevel"/>
    <w:tmpl w:val="B61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C5805"/>
    <w:multiLevelType w:val="hybridMultilevel"/>
    <w:tmpl w:val="CB18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10BEC"/>
    <w:multiLevelType w:val="hybridMultilevel"/>
    <w:tmpl w:val="37E6E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46236"/>
    <w:multiLevelType w:val="hybridMultilevel"/>
    <w:tmpl w:val="F58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10C82"/>
    <w:multiLevelType w:val="hybridMultilevel"/>
    <w:tmpl w:val="0BBA4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721AA0"/>
    <w:multiLevelType w:val="hybridMultilevel"/>
    <w:tmpl w:val="4FB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0597A"/>
    <w:multiLevelType w:val="hybridMultilevel"/>
    <w:tmpl w:val="A8DEC76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24E278A"/>
    <w:multiLevelType w:val="hybridMultilevel"/>
    <w:tmpl w:val="36C2F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2900CD"/>
    <w:multiLevelType w:val="hybridMultilevel"/>
    <w:tmpl w:val="B5482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54F4F"/>
    <w:multiLevelType w:val="hybridMultilevel"/>
    <w:tmpl w:val="839C6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A3AD4"/>
    <w:multiLevelType w:val="hybridMultilevel"/>
    <w:tmpl w:val="345A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9C6B29"/>
    <w:multiLevelType w:val="hybridMultilevel"/>
    <w:tmpl w:val="BC6028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27"/>
  </w:num>
  <w:num w:numId="4">
    <w:abstractNumId w:val="0"/>
  </w:num>
  <w:num w:numId="5">
    <w:abstractNumId w:val="16"/>
  </w:num>
  <w:num w:numId="6">
    <w:abstractNumId w:val="12"/>
  </w:num>
  <w:num w:numId="7">
    <w:abstractNumId w:val="34"/>
  </w:num>
  <w:num w:numId="8">
    <w:abstractNumId w:val="3"/>
  </w:num>
  <w:num w:numId="9">
    <w:abstractNumId w:val="20"/>
  </w:num>
  <w:num w:numId="10">
    <w:abstractNumId w:val="15"/>
  </w:num>
  <w:num w:numId="11">
    <w:abstractNumId w:val="32"/>
  </w:num>
  <w:num w:numId="12">
    <w:abstractNumId w:val="11"/>
  </w:num>
  <w:num w:numId="13">
    <w:abstractNumId w:val="10"/>
  </w:num>
  <w:num w:numId="14">
    <w:abstractNumId w:val="33"/>
  </w:num>
  <w:num w:numId="15">
    <w:abstractNumId w:val="7"/>
  </w:num>
  <w:num w:numId="16">
    <w:abstractNumId w:val="8"/>
  </w:num>
  <w:num w:numId="17">
    <w:abstractNumId w:val="31"/>
  </w:num>
  <w:num w:numId="18">
    <w:abstractNumId w:val="29"/>
  </w:num>
  <w:num w:numId="19">
    <w:abstractNumId w:val="5"/>
  </w:num>
  <w:num w:numId="20">
    <w:abstractNumId w:val="36"/>
  </w:num>
  <w:num w:numId="21">
    <w:abstractNumId w:val="40"/>
  </w:num>
  <w:num w:numId="22">
    <w:abstractNumId w:val="18"/>
  </w:num>
  <w:num w:numId="23">
    <w:abstractNumId w:val="22"/>
  </w:num>
  <w:num w:numId="24">
    <w:abstractNumId w:val="17"/>
  </w:num>
  <w:num w:numId="25">
    <w:abstractNumId w:val="25"/>
  </w:num>
  <w:num w:numId="26">
    <w:abstractNumId w:val="14"/>
  </w:num>
  <w:num w:numId="27">
    <w:abstractNumId w:val="24"/>
  </w:num>
  <w:num w:numId="28">
    <w:abstractNumId w:val="9"/>
  </w:num>
  <w:num w:numId="29">
    <w:abstractNumId w:val="28"/>
  </w:num>
  <w:num w:numId="30">
    <w:abstractNumId w:val="37"/>
  </w:num>
  <w:num w:numId="31">
    <w:abstractNumId w:val="4"/>
  </w:num>
  <w:num w:numId="32">
    <w:abstractNumId w:val="19"/>
  </w:num>
  <w:num w:numId="33">
    <w:abstractNumId w:val="43"/>
  </w:num>
  <w:num w:numId="34">
    <w:abstractNumId w:val="30"/>
  </w:num>
  <w:num w:numId="35">
    <w:abstractNumId w:val="21"/>
  </w:num>
  <w:num w:numId="36">
    <w:abstractNumId w:val="38"/>
  </w:num>
  <w:num w:numId="37">
    <w:abstractNumId w:val="2"/>
  </w:num>
  <w:num w:numId="38">
    <w:abstractNumId w:val="6"/>
  </w:num>
  <w:num w:numId="39">
    <w:abstractNumId w:val="1"/>
  </w:num>
  <w:num w:numId="40">
    <w:abstractNumId w:val="35"/>
  </w:num>
  <w:num w:numId="41">
    <w:abstractNumId w:val="39"/>
    <w:lvlOverride w:ilvl="0"/>
    <w:lvlOverride w:ilvl="1"/>
    <w:lvlOverride w:ilvl="2"/>
    <w:lvlOverride w:ilvl="3"/>
    <w:lvlOverride w:ilvl="4"/>
    <w:lvlOverride w:ilvl="5"/>
    <w:lvlOverride w:ilvl="6"/>
    <w:lvlOverride w:ilvl="7"/>
    <w:lvlOverride w:ilvl="8"/>
  </w:num>
  <w:num w:numId="42">
    <w:abstractNumId w:val="42"/>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1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Crook">
    <w15:presenceInfo w15:providerId="AD" w15:userId="S-1-5-21-3939029228-2082916959-745856994-68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6A"/>
    <w:rsid w:val="00023B2F"/>
    <w:rsid w:val="00045A68"/>
    <w:rsid w:val="000A3A8B"/>
    <w:rsid w:val="000D732E"/>
    <w:rsid w:val="000F1D6A"/>
    <w:rsid w:val="000F39D4"/>
    <w:rsid w:val="001037A2"/>
    <w:rsid w:val="00104E4B"/>
    <w:rsid w:val="001143D5"/>
    <w:rsid w:val="00174376"/>
    <w:rsid w:val="002455B5"/>
    <w:rsid w:val="00260F62"/>
    <w:rsid w:val="00261FD2"/>
    <w:rsid w:val="002B5D4F"/>
    <w:rsid w:val="002C61F4"/>
    <w:rsid w:val="002D5506"/>
    <w:rsid w:val="002E4F91"/>
    <w:rsid w:val="0030556C"/>
    <w:rsid w:val="00342804"/>
    <w:rsid w:val="00342ACB"/>
    <w:rsid w:val="003563A9"/>
    <w:rsid w:val="0036791E"/>
    <w:rsid w:val="003B5E5F"/>
    <w:rsid w:val="003F60EB"/>
    <w:rsid w:val="00400672"/>
    <w:rsid w:val="00412B04"/>
    <w:rsid w:val="0045639B"/>
    <w:rsid w:val="004B66B3"/>
    <w:rsid w:val="004C6917"/>
    <w:rsid w:val="004C6C9A"/>
    <w:rsid w:val="004E0991"/>
    <w:rsid w:val="00511700"/>
    <w:rsid w:val="00516CE9"/>
    <w:rsid w:val="00517D58"/>
    <w:rsid w:val="0057030D"/>
    <w:rsid w:val="005834AF"/>
    <w:rsid w:val="005B6737"/>
    <w:rsid w:val="005E1199"/>
    <w:rsid w:val="00627385"/>
    <w:rsid w:val="00632F43"/>
    <w:rsid w:val="00695509"/>
    <w:rsid w:val="00761BB0"/>
    <w:rsid w:val="00783B37"/>
    <w:rsid w:val="0078682D"/>
    <w:rsid w:val="00837BB1"/>
    <w:rsid w:val="00865FF5"/>
    <w:rsid w:val="00870DDD"/>
    <w:rsid w:val="00895CF3"/>
    <w:rsid w:val="008B6455"/>
    <w:rsid w:val="009500EF"/>
    <w:rsid w:val="0095493C"/>
    <w:rsid w:val="00963BF9"/>
    <w:rsid w:val="00966501"/>
    <w:rsid w:val="00997915"/>
    <w:rsid w:val="009D7A0B"/>
    <w:rsid w:val="009E6F0F"/>
    <w:rsid w:val="009F22BD"/>
    <w:rsid w:val="00A30EA7"/>
    <w:rsid w:val="00A71452"/>
    <w:rsid w:val="00A94109"/>
    <w:rsid w:val="00AA74DC"/>
    <w:rsid w:val="00AC7AA8"/>
    <w:rsid w:val="00B43279"/>
    <w:rsid w:val="00B66B4D"/>
    <w:rsid w:val="00B80319"/>
    <w:rsid w:val="00B83102"/>
    <w:rsid w:val="00BD1269"/>
    <w:rsid w:val="00BD6BEF"/>
    <w:rsid w:val="00C12859"/>
    <w:rsid w:val="00C31460"/>
    <w:rsid w:val="00C365D3"/>
    <w:rsid w:val="00C80699"/>
    <w:rsid w:val="00C847C8"/>
    <w:rsid w:val="00C90652"/>
    <w:rsid w:val="00CA08F5"/>
    <w:rsid w:val="00CD33F2"/>
    <w:rsid w:val="00CD74FA"/>
    <w:rsid w:val="00CE57F4"/>
    <w:rsid w:val="00D16063"/>
    <w:rsid w:val="00D300BA"/>
    <w:rsid w:val="00D60E07"/>
    <w:rsid w:val="00D8290E"/>
    <w:rsid w:val="00D83B0D"/>
    <w:rsid w:val="00D84183"/>
    <w:rsid w:val="00E65C8C"/>
    <w:rsid w:val="00EA23CE"/>
    <w:rsid w:val="00F33791"/>
    <w:rsid w:val="00F44594"/>
    <w:rsid w:val="00F62D12"/>
    <w:rsid w:val="00FD7B80"/>
    <w:rsid w:val="00FF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7D343"/>
  <w15:docId w15:val="{549A9D03-A343-4A20-8A40-F820F3C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B1"/>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F3F88"/>
    <w:rPr>
      <w:sz w:val="16"/>
      <w:szCs w:val="16"/>
    </w:rPr>
  </w:style>
  <w:style w:type="paragraph" w:styleId="CommentText">
    <w:name w:val="annotation text"/>
    <w:basedOn w:val="Normal"/>
    <w:semiHidden/>
    <w:rsid w:val="00EF3F88"/>
    <w:rPr>
      <w:szCs w:val="20"/>
    </w:rPr>
  </w:style>
  <w:style w:type="paragraph" w:styleId="CommentSubject">
    <w:name w:val="annotation subject"/>
    <w:basedOn w:val="CommentText"/>
    <w:next w:val="CommentText"/>
    <w:semiHidden/>
    <w:rsid w:val="00EF3F88"/>
    <w:rPr>
      <w:b/>
      <w:bCs/>
    </w:rPr>
  </w:style>
  <w:style w:type="paragraph" w:styleId="BalloonText">
    <w:name w:val="Balloon Text"/>
    <w:basedOn w:val="Normal"/>
    <w:semiHidden/>
    <w:rsid w:val="00EF3F88"/>
    <w:rPr>
      <w:rFonts w:ascii="Tahoma" w:hAnsi="Tahoma" w:cs="Tahoma"/>
      <w:sz w:val="16"/>
      <w:szCs w:val="16"/>
    </w:rPr>
  </w:style>
  <w:style w:type="paragraph" w:styleId="Header">
    <w:name w:val="header"/>
    <w:basedOn w:val="Normal"/>
    <w:link w:val="HeaderChar"/>
    <w:uiPriority w:val="99"/>
    <w:rsid w:val="00FC049D"/>
    <w:pPr>
      <w:tabs>
        <w:tab w:val="center" w:pos="4153"/>
        <w:tab w:val="right" w:pos="8306"/>
      </w:tabs>
    </w:pPr>
    <w:rPr>
      <w:lang w:val="x-none"/>
    </w:rPr>
  </w:style>
  <w:style w:type="paragraph" w:styleId="Footer">
    <w:name w:val="footer"/>
    <w:basedOn w:val="Normal"/>
    <w:rsid w:val="00FC049D"/>
    <w:pPr>
      <w:tabs>
        <w:tab w:val="center" w:pos="4153"/>
        <w:tab w:val="right" w:pos="8306"/>
      </w:tabs>
    </w:pPr>
  </w:style>
  <w:style w:type="character" w:customStyle="1" w:styleId="HeaderChar">
    <w:name w:val="Header Char"/>
    <w:link w:val="Header"/>
    <w:uiPriority w:val="99"/>
    <w:rsid w:val="00697533"/>
    <w:rPr>
      <w:rFonts w:ascii="Arial" w:hAnsi="Arial"/>
      <w:szCs w:val="24"/>
      <w:lang w:eastAsia="en-US"/>
    </w:rPr>
  </w:style>
  <w:style w:type="paragraph" w:styleId="ListParagraph">
    <w:name w:val="List Paragraph"/>
    <w:basedOn w:val="Normal"/>
    <w:uiPriority w:val="34"/>
    <w:qFormat/>
    <w:rsid w:val="00511700"/>
    <w:pPr>
      <w:spacing w:after="200" w:line="276" w:lineRule="auto"/>
      <w:ind w:left="720"/>
      <w:contextualSpacing/>
    </w:pPr>
    <w:rPr>
      <w:rFonts w:ascii="Calibri" w:eastAsia="Calibri" w:hAnsi="Calibri"/>
      <w:sz w:val="22"/>
      <w:szCs w:val="22"/>
    </w:rPr>
  </w:style>
  <w:style w:type="table" w:styleId="TableGrid">
    <w:name w:val="Table Grid"/>
    <w:basedOn w:val="TableNormal"/>
    <w:rsid w:val="0010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5FF5"/>
    <w:rPr>
      <w:color w:val="0000FF" w:themeColor="hyperlink"/>
      <w:u w:val="single"/>
    </w:rPr>
  </w:style>
  <w:style w:type="paragraph" w:customStyle="1" w:styleId="Default">
    <w:name w:val="Default"/>
    <w:rsid w:val="00CA08F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CA08F5"/>
    <w:pPr>
      <w:jc w:val="both"/>
    </w:pPr>
    <w:rPr>
      <w:rFonts w:ascii="Comic Sans MS" w:hAnsi="Comic Sans MS"/>
    </w:rPr>
  </w:style>
  <w:style w:type="character" w:customStyle="1" w:styleId="BodyTextChar">
    <w:name w:val="Body Text Char"/>
    <w:basedOn w:val="DefaultParagraphFont"/>
    <w:link w:val="BodyText"/>
    <w:rsid w:val="00CA08F5"/>
    <w:rPr>
      <w:rFonts w:ascii="Comic Sans MS" w:hAnsi="Comic Sans MS"/>
      <w:szCs w:val="24"/>
      <w:lang w:eastAsia="en-US"/>
    </w:rPr>
  </w:style>
  <w:style w:type="paragraph" w:styleId="NormalWeb">
    <w:name w:val="Normal (Web)"/>
    <w:basedOn w:val="Normal"/>
    <w:uiPriority w:val="99"/>
    <w:semiHidden/>
    <w:unhideWhenUsed/>
    <w:rsid w:val="00C90652"/>
    <w:pPr>
      <w:spacing w:before="100" w:beforeAutospacing="1" w:after="100" w:afterAutospacing="1"/>
    </w:pPr>
    <w:rPr>
      <w:rFonts w:ascii="Times New Roman" w:hAnsi="Times New Roman"/>
      <w:sz w:val="24"/>
      <w:lang w:eastAsia="en-GB"/>
    </w:rPr>
  </w:style>
  <w:style w:type="paragraph" w:styleId="PlainText">
    <w:name w:val="Plain Text"/>
    <w:basedOn w:val="Normal"/>
    <w:link w:val="PlainTextChar"/>
    <w:uiPriority w:val="99"/>
    <w:semiHidden/>
    <w:unhideWhenUsed/>
    <w:rsid w:val="00A30EA7"/>
    <w:rPr>
      <w:rFonts w:ascii="Consolas" w:eastAsia="Calibri" w:hAnsi="Consolas"/>
      <w:sz w:val="21"/>
      <w:szCs w:val="21"/>
    </w:rPr>
  </w:style>
  <w:style w:type="character" w:customStyle="1" w:styleId="PlainTextChar">
    <w:name w:val="Plain Text Char"/>
    <w:basedOn w:val="DefaultParagraphFont"/>
    <w:link w:val="PlainText"/>
    <w:uiPriority w:val="99"/>
    <w:semiHidden/>
    <w:rsid w:val="00A30EA7"/>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73423">
      <w:bodyDiv w:val="1"/>
      <w:marLeft w:val="0"/>
      <w:marRight w:val="0"/>
      <w:marTop w:val="0"/>
      <w:marBottom w:val="0"/>
      <w:divBdr>
        <w:top w:val="none" w:sz="0" w:space="0" w:color="auto"/>
        <w:left w:val="none" w:sz="0" w:space="0" w:color="auto"/>
        <w:bottom w:val="none" w:sz="0" w:space="0" w:color="auto"/>
        <w:right w:val="none" w:sz="0" w:space="0" w:color="auto"/>
      </w:divBdr>
    </w:div>
    <w:div w:id="1422753382">
      <w:bodyDiv w:val="1"/>
      <w:marLeft w:val="0"/>
      <w:marRight w:val="0"/>
      <w:marTop w:val="0"/>
      <w:marBottom w:val="0"/>
      <w:divBdr>
        <w:top w:val="none" w:sz="0" w:space="0" w:color="auto"/>
        <w:left w:val="none" w:sz="0" w:space="0" w:color="auto"/>
        <w:bottom w:val="none" w:sz="0" w:space="0" w:color="auto"/>
        <w:right w:val="none" w:sz="0" w:space="0" w:color="auto"/>
      </w:divBdr>
    </w:div>
    <w:div w:id="1438022878">
      <w:bodyDiv w:val="1"/>
      <w:marLeft w:val="0"/>
      <w:marRight w:val="0"/>
      <w:marTop w:val="0"/>
      <w:marBottom w:val="0"/>
      <w:divBdr>
        <w:top w:val="none" w:sz="0" w:space="0" w:color="auto"/>
        <w:left w:val="none" w:sz="0" w:space="0" w:color="auto"/>
        <w:bottom w:val="none" w:sz="0" w:space="0" w:color="auto"/>
        <w:right w:val="none" w:sz="0" w:space="0" w:color="auto"/>
      </w:divBdr>
    </w:div>
    <w:div w:id="1772162525">
      <w:bodyDiv w:val="1"/>
      <w:marLeft w:val="0"/>
      <w:marRight w:val="0"/>
      <w:marTop w:val="0"/>
      <w:marBottom w:val="0"/>
      <w:divBdr>
        <w:top w:val="none" w:sz="0" w:space="0" w:color="auto"/>
        <w:left w:val="none" w:sz="0" w:space="0" w:color="auto"/>
        <w:bottom w:val="none" w:sz="0" w:space="0" w:color="auto"/>
        <w:right w:val="none" w:sz="0" w:space="0" w:color="auto"/>
      </w:divBdr>
    </w:div>
    <w:div w:id="18823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4139-06E9-47F5-97D6-11F9E9B3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Lourdes Primary School – Promoting Positive Behaviour</vt:lpstr>
    </vt:vector>
  </TitlesOfParts>
  <Company>GCC</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Lourdes Primary School – Promoting Positive Behaviour</dc:title>
  <dc:creator>GCC</dc:creator>
  <cp:lastModifiedBy>Mark</cp:lastModifiedBy>
  <cp:revision>2</cp:revision>
  <cp:lastPrinted>2013-07-26T14:57:00Z</cp:lastPrinted>
  <dcterms:created xsi:type="dcterms:W3CDTF">2019-05-02T20:28:00Z</dcterms:created>
  <dcterms:modified xsi:type="dcterms:W3CDTF">2019-05-02T20:28:00Z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-1385308897</vt:i4>
  </property>
</Properties>
</file>