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F87" w:rsidRPr="0024192B" w:rsidRDefault="00553F87" w:rsidP="00553F87">
      <w:pPr>
        <w:pStyle w:val="ListParagraph"/>
        <w:shd w:val="clear" w:color="auto" w:fill="FFFFFF"/>
        <w:ind w:left="0"/>
        <w:jc w:val="center"/>
        <w:rPr>
          <w:rFonts w:cs="Arial"/>
          <w:color w:val="0070C0"/>
          <w:szCs w:val="24"/>
        </w:rPr>
      </w:pPr>
      <w:r w:rsidRPr="0024192B">
        <w:rPr>
          <w:rFonts w:cs="Arial"/>
          <w:b/>
          <w:color w:val="0070C0"/>
          <w:szCs w:val="24"/>
        </w:rPr>
        <w:t>Frequently Asked Questions (FAQs) on Conditions Included</w:t>
      </w:r>
    </w:p>
    <w:p w:rsidR="00553F87" w:rsidRDefault="00553F87" w:rsidP="00553F87">
      <w:pPr>
        <w:rPr>
          <w:rFonts w:cs="Arial"/>
          <w:szCs w:val="24"/>
        </w:rPr>
      </w:pPr>
    </w:p>
    <w:p w:rsidR="008F7549" w:rsidRDefault="008F7549" w:rsidP="00553F87">
      <w:pPr>
        <w:rPr>
          <w:rFonts w:cs="Arial"/>
          <w:szCs w:val="24"/>
        </w:rPr>
      </w:pPr>
    </w:p>
    <w:p w:rsidR="00553F87" w:rsidRPr="0024192B" w:rsidRDefault="00553F87" w:rsidP="00553F87">
      <w:pPr>
        <w:rPr>
          <w:rFonts w:cs="Arial"/>
          <w:b/>
          <w:szCs w:val="24"/>
          <w:u w:val="single"/>
        </w:rPr>
      </w:pPr>
      <w:bookmarkStart w:id="0" w:name="_GoBack"/>
      <w:bookmarkEnd w:id="0"/>
      <w:r w:rsidRPr="0024192B">
        <w:rPr>
          <w:rFonts w:cs="Arial"/>
          <w:b/>
          <w:szCs w:val="24"/>
          <w:u w:val="single"/>
        </w:rPr>
        <w:t>Severe Neuro-disabilities</w:t>
      </w:r>
    </w:p>
    <w:p w:rsidR="0024192B" w:rsidRDefault="0024192B" w:rsidP="00553F87">
      <w:pPr>
        <w:rPr>
          <w:rFonts w:cs="Arial"/>
          <w:b/>
          <w:szCs w:val="24"/>
        </w:rPr>
      </w:pPr>
    </w:p>
    <w:p w:rsidR="00553F87" w:rsidRPr="0024192B" w:rsidRDefault="008F7549" w:rsidP="00553F87">
      <w:pPr>
        <w:rPr>
          <w:rFonts w:cs="Arial"/>
          <w:b/>
          <w:szCs w:val="24"/>
        </w:rPr>
      </w:pPr>
      <w:r>
        <w:rPr>
          <w:rFonts w:cs="Arial"/>
          <w:b/>
          <w:szCs w:val="24"/>
        </w:rPr>
        <w:t>What is the d</w:t>
      </w:r>
      <w:r w:rsidR="00553F87" w:rsidRPr="0024192B">
        <w:rPr>
          <w:rFonts w:cs="Arial"/>
          <w:b/>
          <w:szCs w:val="24"/>
        </w:rPr>
        <w:t xml:space="preserve">efinition of </w:t>
      </w:r>
      <w:r>
        <w:rPr>
          <w:rFonts w:cs="Arial"/>
          <w:b/>
          <w:szCs w:val="24"/>
        </w:rPr>
        <w:t>‘s</w:t>
      </w:r>
      <w:r w:rsidR="00553F87" w:rsidRPr="0024192B">
        <w:rPr>
          <w:rFonts w:cs="Arial"/>
          <w:b/>
          <w:szCs w:val="24"/>
        </w:rPr>
        <w:t>ever</w:t>
      </w:r>
      <w:r>
        <w:rPr>
          <w:rFonts w:cs="Arial"/>
          <w:b/>
          <w:szCs w:val="24"/>
        </w:rPr>
        <w:t>e n</w:t>
      </w:r>
      <w:r w:rsidR="00553F87" w:rsidRPr="0024192B">
        <w:rPr>
          <w:rFonts w:cs="Arial"/>
          <w:b/>
          <w:szCs w:val="24"/>
        </w:rPr>
        <w:t>euro-disabilities</w:t>
      </w:r>
      <w:r>
        <w:rPr>
          <w:rFonts w:cs="Arial"/>
          <w:b/>
          <w:szCs w:val="24"/>
        </w:rPr>
        <w:t>’</w:t>
      </w:r>
      <w:r w:rsidR="00553F87" w:rsidRPr="0024192B">
        <w:rPr>
          <w:rFonts w:cs="Arial"/>
          <w:b/>
          <w:szCs w:val="24"/>
        </w:rPr>
        <w:t xml:space="preserve"> and the types of conditions included?</w:t>
      </w:r>
    </w:p>
    <w:p w:rsidR="00553F87" w:rsidRPr="0024192B" w:rsidRDefault="0024192B" w:rsidP="00553F87">
      <w:pPr>
        <w:rPr>
          <w:rFonts w:cs="Arial"/>
          <w:b/>
          <w:szCs w:val="24"/>
        </w:rPr>
      </w:pPr>
      <w:r w:rsidRPr="0024192B">
        <w:rPr>
          <w:rFonts w:cs="Arial"/>
          <w:b/>
          <w:szCs w:val="24"/>
        </w:rPr>
        <w:t xml:space="preserve"> </w:t>
      </w:r>
    </w:p>
    <w:p w:rsidR="0024192B" w:rsidRDefault="0024192B" w:rsidP="00553F87">
      <w:pPr>
        <w:rPr>
          <w:rFonts w:cs="Arial"/>
          <w:i/>
          <w:szCs w:val="24"/>
          <w:shd w:val="clear" w:color="auto" w:fill="FFFFFF"/>
        </w:rPr>
      </w:pPr>
      <w:r w:rsidRPr="0024192B">
        <w:rPr>
          <w:rFonts w:cs="Arial"/>
          <w:i/>
          <w:szCs w:val="24"/>
          <w:shd w:val="clear" w:color="auto" w:fill="FFFFFF"/>
        </w:rPr>
        <w:t>Neuro-disability is an umbrella term </w:t>
      </w:r>
      <w:r w:rsidRPr="0024192B">
        <w:rPr>
          <w:rFonts w:cs="Arial"/>
          <w:bCs/>
          <w:i/>
          <w:szCs w:val="24"/>
          <w:shd w:val="clear" w:color="auto" w:fill="FFFFFF"/>
        </w:rPr>
        <w:t>for conditions associated with impairment involving the nervous system.</w:t>
      </w:r>
      <w:r w:rsidR="00FD30DC">
        <w:rPr>
          <w:rFonts w:cs="Arial"/>
          <w:bCs/>
          <w:i/>
          <w:szCs w:val="24"/>
          <w:shd w:val="clear" w:color="auto" w:fill="FFFFFF"/>
        </w:rPr>
        <w:t xml:space="preserve"> We have used the </w:t>
      </w:r>
      <w:proofErr w:type="spellStart"/>
      <w:r w:rsidR="00FD30DC" w:rsidRPr="00FD30DC">
        <w:rPr>
          <w:rFonts w:cs="Arial"/>
          <w:i/>
          <w:szCs w:val="24"/>
          <w:shd w:val="clear" w:color="auto" w:fill="FFFFFF"/>
        </w:rPr>
        <w:t>Neurodisability</w:t>
      </w:r>
      <w:proofErr w:type="spellEnd"/>
      <w:r w:rsidR="00FD30DC" w:rsidRPr="00FD30DC">
        <w:rPr>
          <w:rFonts w:cs="Arial"/>
          <w:i/>
          <w:szCs w:val="24"/>
          <w:shd w:val="clear" w:color="auto" w:fill="FFFFFF"/>
        </w:rPr>
        <w:t xml:space="preserve"> </w:t>
      </w:r>
      <w:proofErr w:type="spellStart"/>
      <w:r w:rsidR="00FD30DC" w:rsidRPr="00FD30DC">
        <w:rPr>
          <w:rFonts w:cs="Arial"/>
          <w:i/>
          <w:szCs w:val="24"/>
          <w:shd w:val="clear" w:color="auto" w:fill="FFFFFF"/>
        </w:rPr>
        <w:t>codeset</w:t>
      </w:r>
      <w:proofErr w:type="spellEnd"/>
      <w:r w:rsidR="00FD30DC" w:rsidRPr="00FD30DC">
        <w:rPr>
          <w:rFonts w:cs="Arial"/>
          <w:i/>
          <w:szCs w:val="24"/>
          <w:shd w:val="clear" w:color="auto" w:fill="FFFFFF"/>
        </w:rPr>
        <w:t xml:space="preserve"> in GP records and this consists of around 680 codes.</w:t>
      </w:r>
      <w:r w:rsidR="00BF586F">
        <w:rPr>
          <w:rFonts w:cs="Arial"/>
          <w:i/>
          <w:szCs w:val="24"/>
          <w:shd w:val="clear" w:color="auto" w:fill="FFFFFF"/>
        </w:rPr>
        <w:t xml:space="preserve"> </w:t>
      </w:r>
      <w:r w:rsidRPr="00FD30DC">
        <w:rPr>
          <w:rFonts w:cs="Arial"/>
          <w:i/>
          <w:szCs w:val="24"/>
          <w:shd w:val="clear" w:color="auto" w:fill="FFFFFF"/>
        </w:rPr>
        <w:t xml:space="preserve">Conditions </w:t>
      </w:r>
      <w:r w:rsidR="00FD30DC" w:rsidRPr="00FD30DC">
        <w:rPr>
          <w:rFonts w:cs="Arial"/>
          <w:i/>
          <w:szCs w:val="24"/>
          <w:shd w:val="clear" w:color="auto" w:fill="FFFFFF"/>
        </w:rPr>
        <w:t xml:space="preserve">such </w:t>
      </w:r>
      <w:r w:rsidR="00BF586F">
        <w:rPr>
          <w:rFonts w:cs="Arial"/>
          <w:i/>
          <w:szCs w:val="24"/>
          <w:shd w:val="clear" w:color="auto" w:fill="FFFFFF"/>
        </w:rPr>
        <w:t>as</w:t>
      </w:r>
      <w:r w:rsidR="00FD30DC" w:rsidRPr="00FD30DC">
        <w:rPr>
          <w:rFonts w:cs="Arial"/>
          <w:i/>
          <w:szCs w:val="24"/>
          <w:shd w:val="clear" w:color="auto" w:fill="FFFFFF"/>
        </w:rPr>
        <w:t xml:space="preserve"> these broader groupings are:</w:t>
      </w:r>
    </w:p>
    <w:p w:rsidR="005C3446" w:rsidRPr="00FD30DC" w:rsidRDefault="005C3446" w:rsidP="00553F87">
      <w:pPr>
        <w:rPr>
          <w:rFonts w:cs="Arial"/>
          <w:i/>
          <w:szCs w:val="24"/>
          <w:shd w:val="clear" w:color="auto" w:fill="FFFFFF"/>
        </w:rPr>
      </w:pP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 xml:space="preserve">All forms of Paralysis, </w:t>
      </w:r>
      <w:proofErr w:type="spellStart"/>
      <w:r w:rsidRPr="00FD30DC">
        <w:rPr>
          <w:rFonts w:cs="Arial"/>
          <w:i/>
          <w:szCs w:val="24"/>
          <w:shd w:val="clear" w:color="auto" w:fill="FFFFFF"/>
        </w:rPr>
        <w:t>hemiplegias</w:t>
      </w:r>
      <w:proofErr w:type="spellEnd"/>
      <w:r w:rsidRPr="00FD30DC">
        <w:rPr>
          <w:rFonts w:cs="Arial"/>
          <w:i/>
          <w:szCs w:val="24"/>
          <w:shd w:val="clear" w:color="auto" w:fill="FFFFFF"/>
        </w:rPr>
        <w:t>, paraplegias etc.</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Neurological Cancers</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Neurological infections (including encephalitis, polio)</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Congenital disorders likely to affect nervous system</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Neuro-degenerative conditions</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Ataxias</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Motor Neurone Disease</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Demyelinating diseases including MS</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Cerebral Palsy</w:t>
      </w:r>
    </w:p>
    <w:p w:rsidR="00FD30DC" w:rsidRPr="00FD30DC" w:rsidRDefault="00FD30DC" w:rsidP="00FD30DC">
      <w:pPr>
        <w:pStyle w:val="ListParagraph"/>
        <w:numPr>
          <w:ilvl w:val="0"/>
          <w:numId w:val="8"/>
        </w:numPr>
        <w:rPr>
          <w:rFonts w:cs="Arial"/>
          <w:i/>
          <w:szCs w:val="24"/>
          <w:shd w:val="clear" w:color="auto" w:fill="FFFFFF"/>
        </w:rPr>
      </w:pPr>
      <w:proofErr w:type="spellStart"/>
      <w:r w:rsidRPr="00FD30DC">
        <w:rPr>
          <w:rFonts w:cs="Arial"/>
          <w:i/>
          <w:szCs w:val="24"/>
          <w:shd w:val="clear" w:color="auto" w:fill="FFFFFF"/>
        </w:rPr>
        <w:t>SupraNuclear</w:t>
      </w:r>
      <w:proofErr w:type="spellEnd"/>
      <w:r w:rsidRPr="00FD30DC">
        <w:rPr>
          <w:rFonts w:cs="Arial"/>
          <w:i/>
          <w:szCs w:val="24"/>
          <w:shd w:val="clear" w:color="auto" w:fill="FFFFFF"/>
        </w:rPr>
        <w:t xml:space="preserve"> Palsy</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Neuropathies</w:t>
      </w:r>
    </w:p>
    <w:p w:rsidR="00FD30DC" w:rsidRPr="00FD30DC" w:rsidRDefault="00FD30DC" w:rsidP="00FD30DC">
      <w:pPr>
        <w:pStyle w:val="ListParagraph"/>
        <w:numPr>
          <w:ilvl w:val="0"/>
          <w:numId w:val="8"/>
        </w:numPr>
        <w:rPr>
          <w:rFonts w:cs="Arial"/>
          <w:i/>
          <w:szCs w:val="24"/>
          <w:shd w:val="clear" w:color="auto" w:fill="FFFFFF"/>
        </w:rPr>
      </w:pPr>
      <w:proofErr w:type="spellStart"/>
      <w:r w:rsidRPr="00FD30DC">
        <w:rPr>
          <w:rFonts w:cs="Arial"/>
          <w:i/>
          <w:szCs w:val="24"/>
          <w:shd w:val="clear" w:color="auto" w:fill="FFFFFF"/>
        </w:rPr>
        <w:t>Myaesthenia</w:t>
      </w:r>
      <w:proofErr w:type="spellEnd"/>
      <w:r w:rsidRPr="00FD30DC">
        <w:rPr>
          <w:rFonts w:cs="Arial"/>
          <w:i/>
          <w:szCs w:val="24"/>
          <w:shd w:val="clear" w:color="auto" w:fill="FFFFFF"/>
        </w:rPr>
        <w:t xml:space="preserve"> disorders</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Myotonic Disorders</w:t>
      </w:r>
    </w:p>
    <w:p w:rsidR="00FD30DC" w:rsidRPr="00FD30DC" w:rsidRDefault="00FD30DC" w:rsidP="00FD30DC">
      <w:pPr>
        <w:pStyle w:val="ListParagraph"/>
        <w:numPr>
          <w:ilvl w:val="0"/>
          <w:numId w:val="8"/>
        </w:numPr>
        <w:rPr>
          <w:rFonts w:cs="Arial"/>
          <w:i/>
          <w:szCs w:val="24"/>
          <w:shd w:val="clear" w:color="auto" w:fill="FFFFFF"/>
        </w:rPr>
      </w:pPr>
      <w:proofErr w:type="spellStart"/>
      <w:r w:rsidRPr="00FD30DC">
        <w:rPr>
          <w:rFonts w:cs="Arial"/>
          <w:i/>
          <w:szCs w:val="24"/>
          <w:shd w:val="clear" w:color="auto" w:fill="FFFFFF"/>
        </w:rPr>
        <w:t>Musculodystrophies</w:t>
      </w:r>
      <w:proofErr w:type="spellEnd"/>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 xml:space="preserve">Vascular disorders - Intracranial haemorrhages, aneurysms, Strokes, Thrombosis, </w:t>
      </w:r>
      <w:proofErr w:type="spellStart"/>
      <w:r w:rsidRPr="00FD30DC">
        <w:rPr>
          <w:rFonts w:cs="Arial"/>
          <w:i/>
          <w:szCs w:val="24"/>
          <w:shd w:val="clear" w:color="auto" w:fill="FFFFFF"/>
        </w:rPr>
        <w:t>Arteriris</w:t>
      </w:r>
      <w:proofErr w:type="spellEnd"/>
      <w:r w:rsidRPr="00FD30DC">
        <w:rPr>
          <w:rFonts w:cs="Arial"/>
          <w:i/>
          <w:szCs w:val="24"/>
          <w:shd w:val="clear" w:color="auto" w:fill="FFFFFF"/>
        </w:rPr>
        <w:t>, Dissections</w:t>
      </w:r>
    </w:p>
    <w:p w:rsidR="00FD30DC" w:rsidRPr="00FD30DC" w:rsidRDefault="00FD30DC" w:rsidP="00FD30DC">
      <w:pPr>
        <w:pStyle w:val="ListParagraph"/>
        <w:numPr>
          <w:ilvl w:val="0"/>
          <w:numId w:val="8"/>
        </w:numPr>
        <w:rPr>
          <w:rFonts w:cs="Arial"/>
          <w:i/>
          <w:szCs w:val="24"/>
          <w:shd w:val="clear" w:color="auto" w:fill="FFFFFF"/>
        </w:rPr>
      </w:pPr>
      <w:proofErr w:type="spellStart"/>
      <w:r w:rsidRPr="00FD30DC">
        <w:rPr>
          <w:rFonts w:cs="Arial"/>
          <w:i/>
          <w:szCs w:val="24"/>
          <w:shd w:val="clear" w:color="auto" w:fill="FFFFFF"/>
        </w:rPr>
        <w:t>Spina</w:t>
      </w:r>
      <w:proofErr w:type="spellEnd"/>
      <w:r w:rsidRPr="00FD30DC">
        <w:rPr>
          <w:rFonts w:cs="Arial"/>
          <w:i/>
          <w:szCs w:val="24"/>
          <w:shd w:val="clear" w:color="auto" w:fill="FFFFFF"/>
        </w:rPr>
        <w:t xml:space="preserve"> Bifida, Hydrocephalus</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Neuro Developmental Disorders</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Congenital disorders</w:t>
      </w:r>
    </w:p>
    <w:p w:rsidR="00FD30DC" w:rsidRPr="00FD30DC" w:rsidRDefault="00FD30DC" w:rsidP="00FD30DC">
      <w:pPr>
        <w:pStyle w:val="ListParagraph"/>
        <w:numPr>
          <w:ilvl w:val="0"/>
          <w:numId w:val="8"/>
        </w:numPr>
        <w:rPr>
          <w:rFonts w:cs="Arial"/>
          <w:i/>
          <w:szCs w:val="24"/>
          <w:shd w:val="clear" w:color="auto" w:fill="FFFFFF"/>
        </w:rPr>
      </w:pPr>
      <w:r w:rsidRPr="00FD30DC">
        <w:rPr>
          <w:rFonts w:cs="Arial"/>
          <w:i/>
          <w:szCs w:val="24"/>
          <w:shd w:val="clear" w:color="auto" w:fill="FFFFFF"/>
        </w:rPr>
        <w:t>Chromosomal Abnormalities (although D</w:t>
      </w:r>
      <w:r>
        <w:rPr>
          <w:rFonts w:cs="Arial"/>
          <w:i/>
          <w:szCs w:val="24"/>
          <w:shd w:val="clear" w:color="auto" w:fill="FFFFFF"/>
        </w:rPr>
        <w:t xml:space="preserve">owns syndrome a separate </w:t>
      </w:r>
      <w:proofErr w:type="spellStart"/>
      <w:r>
        <w:rPr>
          <w:rFonts w:cs="Arial"/>
          <w:i/>
          <w:szCs w:val="24"/>
          <w:shd w:val="clear" w:color="auto" w:fill="FFFFFF"/>
        </w:rPr>
        <w:t>JCVI</w:t>
      </w:r>
      <w:proofErr w:type="spellEnd"/>
      <w:r>
        <w:rPr>
          <w:rFonts w:cs="Arial"/>
          <w:i/>
          <w:szCs w:val="24"/>
          <w:shd w:val="clear" w:color="auto" w:fill="FFFFFF"/>
        </w:rPr>
        <w:t xml:space="preserve"> group for this vaccination group)</w:t>
      </w:r>
    </w:p>
    <w:p w:rsidR="00FD30DC" w:rsidRPr="00FD30DC" w:rsidRDefault="00FD30DC" w:rsidP="00FD30DC">
      <w:pPr>
        <w:rPr>
          <w:rFonts w:cs="Arial"/>
          <w:i/>
          <w:szCs w:val="24"/>
          <w:shd w:val="clear" w:color="auto" w:fill="FFFFFF"/>
        </w:rPr>
      </w:pPr>
    </w:p>
    <w:p w:rsidR="00FD30DC" w:rsidRDefault="00FD30DC" w:rsidP="00FD30DC">
      <w:pPr>
        <w:rPr>
          <w:rFonts w:cs="Arial"/>
          <w:i/>
          <w:szCs w:val="24"/>
          <w:shd w:val="clear" w:color="auto" w:fill="FFFFFF"/>
        </w:rPr>
      </w:pPr>
      <w:r w:rsidRPr="00FD30DC">
        <w:rPr>
          <w:rFonts w:cs="Arial"/>
          <w:i/>
          <w:szCs w:val="24"/>
          <w:shd w:val="clear" w:color="auto" w:fill="FFFFFF"/>
        </w:rPr>
        <w:t xml:space="preserve">The presence of a code </w:t>
      </w:r>
      <w:r>
        <w:rPr>
          <w:rFonts w:cs="Arial"/>
          <w:i/>
          <w:szCs w:val="24"/>
          <w:shd w:val="clear" w:color="auto" w:fill="FFFFFF"/>
        </w:rPr>
        <w:t xml:space="preserve">in a GP record, </w:t>
      </w:r>
      <w:r w:rsidRPr="00FD30DC">
        <w:rPr>
          <w:rFonts w:cs="Arial"/>
          <w:i/>
          <w:szCs w:val="24"/>
          <w:shd w:val="clear" w:color="auto" w:fill="FFFFFF"/>
        </w:rPr>
        <w:t>can be at any</w:t>
      </w:r>
      <w:r>
        <w:rPr>
          <w:rFonts w:cs="Arial"/>
          <w:i/>
          <w:szCs w:val="24"/>
          <w:shd w:val="clear" w:color="auto" w:fill="FFFFFF"/>
        </w:rPr>
        <w:t xml:space="preserve"> </w:t>
      </w:r>
      <w:r w:rsidRPr="00FD30DC">
        <w:rPr>
          <w:rFonts w:cs="Arial"/>
          <w:i/>
          <w:szCs w:val="24"/>
          <w:shd w:val="clear" w:color="auto" w:fill="FFFFFF"/>
        </w:rPr>
        <w:t xml:space="preserve">time in the child’s clinical history, so it is possible we will identify children who’s condition has now resolved. </w:t>
      </w:r>
      <w:r>
        <w:rPr>
          <w:rFonts w:cs="Arial"/>
          <w:i/>
          <w:szCs w:val="24"/>
          <w:shd w:val="clear" w:color="auto" w:fill="FFFFFF"/>
        </w:rPr>
        <w:t>In this case, if someone receives an invitation and does not thi</w:t>
      </w:r>
      <w:r w:rsidR="00440E06">
        <w:rPr>
          <w:rFonts w:cs="Arial"/>
          <w:i/>
          <w:szCs w:val="24"/>
          <w:shd w:val="clear" w:color="auto" w:fill="FFFFFF"/>
        </w:rPr>
        <w:t>nk</w:t>
      </w:r>
      <w:r>
        <w:rPr>
          <w:rFonts w:cs="Arial"/>
          <w:i/>
          <w:szCs w:val="24"/>
          <w:shd w:val="clear" w:color="auto" w:fill="FFFFFF"/>
        </w:rPr>
        <w:t xml:space="preserve"> thi</w:t>
      </w:r>
      <w:r w:rsidR="005C3446">
        <w:rPr>
          <w:rFonts w:cs="Arial"/>
          <w:i/>
          <w:szCs w:val="24"/>
          <w:shd w:val="clear" w:color="auto" w:fill="FFFFFF"/>
        </w:rPr>
        <w:t>s</w:t>
      </w:r>
      <w:r>
        <w:rPr>
          <w:rFonts w:cs="Arial"/>
          <w:i/>
          <w:szCs w:val="24"/>
          <w:shd w:val="clear" w:color="auto" w:fill="FFFFFF"/>
        </w:rPr>
        <w:t xml:space="preserve"> is now needed, they can discuss with their Health Board or Healthcare Professional.</w:t>
      </w:r>
    </w:p>
    <w:p w:rsidR="00FD30DC" w:rsidRDefault="00FD30DC" w:rsidP="00FD30DC">
      <w:pPr>
        <w:rPr>
          <w:rFonts w:cs="Arial"/>
          <w:i/>
          <w:szCs w:val="24"/>
          <w:shd w:val="clear" w:color="auto" w:fill="FFFFFF"/>
        </w:rPr>
      </w:pPr>
    </w:p>
    <w:p w:rsidR="00FD30DC" w:rsidRPr="00FD30DC" w:rsidRDefault="00BF586F" w:rsidP="00FD30DC">
      <w:pPr>
        <w:rPr>
          <w:rFonts w:cs="Arial"/>
          <w:i/>
          <w:szCs w:val="24"/>
          <w:shd w:val="clear" w:color="auto" w:fill="FFFFFF"/>
        </w:rPr>
      </w:pPr>
      <w:r>
        <w:rPr>
          <w:rFonts w:cs="Arial"/>
          <w:i/>
          <w:szCs w:val="24"/>
          <w:shd w:val="clear" w:color="auto" w:fill="FFFFFF"/>
        </w:rPr>
        <w:t>It should be noted that e</w:t>
      </w:r>
      <w:r w:rsidR="00FD30DC" w:rsidRPr="00FD30DC">
        <w:rPr>
          <w:rFonts w:cs="Arial"/>
          <w:i/>
          <w:szCs w:val="24"/>
          <w:shd w:val="clear" w:color="auto" w:fill="FFFFFF"/>
        </w:rPr>
        <w:t xml:space="preserve">pilepsy on its own is not included in this list although some children with epilepsy will be included if they have an additional neurological condition coded. </w:t>
      </w:r>
    </w:p>
    <w:p w:rsidR="00553F87" w:rsidRPr="0024192B" w:rsidRDefault="00553F87" w:rsidP="00553F87">
      <w:pPr>
        <w:rPr>
          <w:rFonts w:cs="Arial"/>
          <w:b/>
          <w:szCs w:val="24"/>
        </w:rPr>
      </w:pPr>
    </w:p>
    <w:p w:rsidR="00553F87" w:rsidRPr="0024192B" w:rsidRDefault="003C6494" w:rsidP="00553F87">
      <w:pPr>
        <w:rPr>
          <w:rFonts w:cs="Arial"/>
          <w:b/>
          <w:szCs w:val="24"/>
        </w:rPr>
      </w:pPr>
      <w:r>
        <w:rPr>
          <w:rFonts w:cs="Arial"/>
          <w:b/>
          <w:szCs w:val="24"/>
        </w:rPr>
        <w:t>Why d</w:t>
      </w:r>
      <w:r w:rsidR="008F7549">
        <w:rPr>
          <w:rFonts w:cs="Arial"/>
          <w:b/>
          <w:szCs w:val="24"/>
        </w:rPr>
        <w:t>oes having a severe n</w:t>
      </w:r>
      <w:r w:rsidR="00553F87" w:rsidRPr="0024192B">
        <w:rPr>
          <w:rFonts w:cs="Arial"/>
          <w:b/>
          <w:szCs w:val="24"/>
        </w:rPr>
        <w:t>euro-disability increase risk in COVID-19 disease?</w:t>
      </w:r>
    </w:p>
    <w:p w:rsidR="00387F80" w:rsidRPr="0024192B" w:rsidRDefault="00387F80" w:rsidP="00553F87">
      <w:pPr>
        <w:rPr>
          <w:rFonts w:cs="Arial"/>
          <w:color w:val="1F497D"/>
          <w:szCs w:val="24"/>
        </w:rPr>
      </w:pPr>
    </w:p>
    <w:p w:rsidR="00553F87" w:rsidRDefault="0024192B" w:rsidP="00553F87">
      <w:pPr>
        <w:rPr>
          <w:rFonts w:cs="Arial"/>
          <w:i/>
          <w:szCs w:val="24"/>
        </w:rPr>
      </w:pPr>
      <w:r w:rsidRPr="00EC7C4A">
        <w:rPr>
          <w:rFonts w:cs="Arial"/>
          <w:i/>
          <w:szCs w:val="24"/>
        </w:rPr>
        <w:t xml:space="preserve">COVID-19 is a respiratory virus affecting the lung - </w:t>
      </w:r>
      <w:r w:rsidR="00EC7C4A" w:rsidRPr="00EC7C4A">
        <w:rPr>
          <w:rFonts w:cs="Arial"/>
          <w:i/>
          <w:szCs w:val="24"/>
        </w:rPr>
        <w:t xml:space="preserve">if </w:t>
      </w:r>
      <w:r w:rsidRPr="00EC7C4A">
        <w:rPr>
          <w:rFonts w:cs="Arial"/>
          <w:i/>
          <w:szCs w:val="24"/>
        </w:rPr>
        <w:t>anyone with a neuro-disability conditions that impairs lung function</w:t>
      </w:r>
      <w:r w:rsidR="00EC7C4A" w:rsidRPr="00EC7C4A">
        <w:rPr>
          <w:rFonts w:cs="Arial"/>
          <w:i/>
          <w:szCs w:val="24"/>
        </w:rPr>
        <w:t xml:space="preserve"> contract the virus it</w:t>
      </w:r>
      <w:r w:rsidRPr="00EC7C4A">
        <w:rPr>
          <w:rFonts w:cs="Arial"/>
          <w:i/>
          <w:szCs w:val="24"/>
        </w:rPr>
        <w:t xml:space="preserve"> could cause severe complications if they develop</w:t>
      </w:r>
      <w:r w:rsidR="00EC7C4A" w:rsidRPr="00EC7C4A">
        <w:rPr>
          <w:rFonts w:cs="Arial"/>
          <w:i/>
          <w:szCs w:val="24"/>
        </w:rPr>
        <w:t>.</w:t>
      </w:r>
      <w:r w:rsidRPr="00EC7C4A">
        <w:rPr>
          <w:rFonts w:cs="Arial"/>
          <w:i/>
          <w:szCs w:val="24"/>
        </w:rPr>
        <w:t xml:space="preserve"> </w:t>
      </w:r>
    </w:p>
    <w:p w:rsidR="006722BE" w:rsidRDefault="006722BE" w:rsidP="00553F87">
      <w:pPr>
        <w:rPr>
          <w:rFonts w:cs="Arial"/>
          <w:i/>
          <w:szCs w:val="24"/>
        </w:rPr>
      </w:pPr>
    </w:p>
    <w:p w:rsidR="006722BE" w:rsidRPr="006722BE" w:rsidRDefault="006722BE" w:rsidP="00553F87">
      <w:pPr>
        <w:rPr>
          <w:rFonts w:cs="Arial"/>
          <w:i/>
          <w:szCs w:val="24"/>
        </w:rPr>
      </w:pPr>
      <w:r w:rsidRPr="006722BE">
        <w:rPr>
          <w:i/>
        </w:rPr>
        <w:lastRenderedPageBreak/>
        <w:t>Given the very high risk of exposure to infection and outbreaks in institutional settings, children with severe neuro-disabilities who tend to get recurrent respiratory tract infections particularly those who spend time in specialised residential care settings for children with complex needs.</w:t>
      </w:r>
    </w:p>
    <w:p w:rsidR="00553F87" w:rsidRPr="0024192B" w:rsidRDefault="00553F87" w:rsidP="00553F87">
      <w:pPr>
        <w:rPr>
          <w:rFonts w:cs="Arial"/>
          <w:b/>
          <w:szCs w:val="24"/>
        </w:rPr>
      </w:pPr>
    </w:p>
    <w:p w:rsidR="00553F87" w:rsidRPr="0024192B" w:rsidRDefault="00553F87" w:rsidP="00553F87">
      <w:pPr>
        <w:rPr>
          <w:rFonts w:cs="Arial"/>
          <w:b/>
          <w:szCs w:val="24"/>
        </w:rPr>
      </w:pPr>
      <w:r w:rsidRPr="0024192B">
        <w:rPr>
          <w:rFonts w:cs="Arial"/>
          <w:b/>
          <w:szCs w:val="24"/>
        </w:rPr>
        <w:t>My chi</w:t>
      </w:r>
      <w:r w:rsidR="008F7549">
        <w:rPr>
          <w:rFonts w:cs="Arial"/>
          <w:b/>
          <w:szCs w:val="24"/>
        </w:rPr>
        <w:t>ld has a neurology condition (</w:t>
      </w:r>
      <w:proofErr w:type="spellStart"/>
      <w:r w:rsidR="00822271">
        <w:rPr>
          <w:rFonts w:cs="Arial"/>
          <w:b/>
          <w:szCs w:val="24"/>
        </w:rPr>
        <w:t>eg</w:t>
      </w:r>
      <w:proofErr w:type="spellEnd"/>
      <w:r w:rsidR="00822271">
        <w:rPr>
          <w:rFonts w:cs="Arial"/>
          <w:b/>
          <w:szCs w:val="24"/>
        </w:rPr>
        <w:t xml:space="preserve"> </w:t>
      </w:r>
      <w:r w:rsidR="0059613C">
        <w:rPr>
          <w:rFonts w:cs="Arial"/>
          <w:b/>
          <w:szCs w:val="24"/>
        </w:rPr>
        <w:t>e</w:t>
      </w:r>
      <w:r w:rsidRPr="0024192B">
        <w:rPr>
          <w:rFonts w:cs="Arial"/>
          <w:b/>
          <w:szCs w:val="24"/>
        </w:rPr>
        <w:t>pilepsy) – why are they not included in this group?</w:t>
      </w:r>
    </w:p>
    <w:p w:rsidR="00553F87" w:rsidRPr="0024192B" w:rsidRDefault="00553F87" w:rsidP="00553F87">
      <w:pPr>
        <w:rPr>
          <w:rFonts w:cs="Arial"/>
          <w:b/>
          <w:szCs w:val="24"/>
        </w:rPr>
      </w:pPr>
    </w:p>
    <w:p w:rsidR="00A75D27" w:rsidRPr="00A75D27" w:rsidRDefault="00EC7C4A" w:rsidP="00A75D27">
      <w:pPr>
        <w:rPr>
          <w:rFonts w:cs="Arial"/>
          <w:i/>
          <w:szCs w:val="24"/>
        </w:rPr>
      </w:pPr>
      <w:r w:rsidRPr="00A75D27">
        <w:rPr>
          <w:rFonts w:cs="Arial"/>
          <w:i/>
          <w:szCs w:val="24"/>
        </w:rPr>
        <w:t xml:space="preserve">Epilepsy on its own is not a higher risk of COVID-19 compared to </w:t>
      </w:r>
      <w:r w:rsidR="0059613C">
        <w:rPr>
          <w:rFonts w:cs="Arial"/>
          <w:i/>
          <w:szCs w:val="24"/>
        </w:rPr>
        <w:t>people without epilepsy</w:t>
      </w:r>
      <w:r w:rsidRPr="00A75D27">
        <w:rPr>
          <w:rFonts w:cs="Arial"/>
          <w:i/>
          <w:szCs w:val="24"/>
        </w:rPr>
        <w:t>.</w:t>
      </w:r>
      <w:r w:rsidR="00A75D27" w:rsidRPr="00A75D27">
        <w:rPr>
          <w:rFonts w:cs="Arial"/>
          <w:i/>
          <w:szCs w:val="24"/>
        </w:rPr>
        <w:t xml:space="preserve"> Most people with well controlled epilepsy without any other neurological condition are not currently included in this this category as their immune and lung function should be normal like anyone else without epilepsy.</w:t>
      </w:r>
    </w:p>
    <w:p w:rsidR="00EC7C4A" w:rsidRPr="00EC7C4A" w:rsidRDefault="00EC7C4A" w:rsidP="00553F87">
      <w:pPr>
        <w:rPr>
          <w:rFonts w:cs="Arial"/>
          <w:b/>
          <w:i/>
          <w:szCs w:val="24"/>
          <w:u w:val="single"/>
        </w:rPr>
      </w:pPr>
    </w:p>
    <w:p w:rsidR="00EC7C4A" w:rsidRPr="0024192B" w:rsidRDefault="00EC7C4A" w:rsidP="00553F87">
      <w:pPr>
        <w:rPr>
          <w:rFonts w:cs="Arial"/>
          <w:b/>
          <w:szCs w:val="24"/>
          <w:u w:val="single"/>
        </w:rPr>
      </w:pPr>
    </w:p>
    <w:p w:rsidR="00553F87" w:rsidRDefault="00553F87" w:rsidP="00553F87">
      <w:pPr>
        <w:rPr>
          <w:rFonts w:cs="Arial"/>
          <w:b/>
          <w:szCs w:val="24"/>
          <w:u w:val="single"/>
        </w:rPr>
      </w:pPr>
      <w:r w:rsidRPr="0024192B">
        <w:rPr>
          <w:rFonts w:cs="Arial"/>
          <w:b/>
          <w:szCs w:val="24"/>
          <w:u w:val="single"/>
        </w:rPr>
        <w:t>Immunosuppression</w:t>
      </w:r>
    </w:p>
    <w:p w:rsidR="00EC7C4A" w:rsidRPr="0024192B" w:rsidRDefault="00EC7C4A" w:rsidP="00553F87">
      <w:pPr>
        <w:rPr>
          <w:rFonts w:cs="Arial"/>
          <w:b/>
          <w:szCs w:val="24"/>
          <w:u w:val="single"/>
        </w:rPr>
      </w:pPr>
    </w:p>
    <w:p w:rsidR="00553F87" w:rsidRPr="0024192B" w:rsidRDefault="008F7549" w:rsidP="00553F87">
      <w:pPr>
        <w:rPr>
          <w:rFonts w:cs="Arial"/>
          <w:b/>
          <w:szCs w:val="24"/>
        </w:rPr>
      </w:pPr>
      <w:r>
        <w:rPr>
          <w:rFonts w:cs="Arial"/>
          <w:b/>
          <w:szCs w:val="24"/>
        </w:rPr>
        <w:t>What is the definition of ‘i</w:t>
      </w:r>
      <w:r w:rsidR="00553F87" w:rsidRPr="0024192B">
        <w:rPr>
          <w:rFonts w:cs="Arial"/>
          <w:b/>
          <w:szCs w:val="24"/>
        </w:rPr>
        <w:t>mmunosuppression</w:t>
      </w:r>
      <w:r>
        <w:rPr>
          <w:rFonts w:cs="Arial"/>
          <w:b/>
          <w:szCs w:val="24"/>
        </w:rPr>
        <w:t>’</w:t>
      </w:r>
      <w:r w:rsidR="00553F87" w:rsidRPr="0024192B">
        <w:rPr>
          <w:rFonts w:cs="Arial"/>
          <w:b/>
          <w:szCs w:val="24"/>
        </w:rPr>
        <w:t xml:space="preserve"> and what types of conditions or medications make a young person immune suppressed?</w:t>
      </w:r>
    </w:p>
    <w:p w:rsidR="00553F87" w:rsidRPr="0024192B" w:rsidRDefault="00553F87" w:rsidP="00553F87">
      <w:pPr>
        <w:rPr>
          <w:rFonts w:cs="Arial"/>
          <w:b/>
          <w:szCs w:val="24"/>
        </w:rPr>
      </w:pPr>
    </w:p>
    <w:p w:rsidR="00553F87" w:rsidRDefault="00BF26F6" w:rsidP="00553F87">
      <w:pPr>
        <w:rPr>
          <w:rFonts w:cs="Arial"/>
          <w:i/>
          <w:color w:val="202124"/>
          <w:shd w:val="clear" w:color="auto" w:fill="FFFFFF"/>
        </w:rPr>
      </w:pPr>
      <w:r w:rsidRPr="00BF26F6">
        <w:rPr>
          <w:rFonts w:cs="Arial"/>
          <w:i/>
          <w:color w:val="202124"/>
          <w:shd w:val="clear" w:color="auto" w:fill="FFFFFF"/>
        </w:rPr>
        <w:t>Immunosuppression is </w:t>
      </w:r>
      <w:r w:rsidRPr="00BF26F6">
        <w:rPr>
          <w:rFonts w:cs="Arial"/>
          <w:bCs/>
          <w:i/>
          <w:color w:val="202124"/>
          <w:shd w:val="clear" w:color="auto" w:fill="FFFFFF"/>
        </w:rPr>
        <w:t>the state in which your immune system is not functioning as well as it should</w:t>
      </w:r>
      <w:r w:rsidRPr="00BF26F6">
        <w:rPr>
          <w:rFonts w:cs="Arial"/>
          <w:i/>
          <w:color w:val="202124"/>
          <w:shd w:val="clear" w:color="auto" w:fill="FFFFFF"/>
        </w:rPr>
        <w:t>.</w:t>
      </w:r>
    </w:p>
    <w:p w:rsidR="00BF26F6" w:rsidRDefault="00BF26F6" w:rsidP="00553F87">
      <w:pPr>
        <w:rPr>
          <w:rFonts w:cs="Arial"/>
          <w:i/>
          <w:color w:val="202124"/>
          <w:shd w:val="clear" w:color="auto" w:fill="FFFFFF"/>
        </w:rPr>
      </w:pPr>
    </w:p>
    <w:p w:rsidR="00BF26F6" w:rsidRPr="00BF26F6" w:rsidRDefault="006722BE" w:rsidP="00553F87">
      <w:pPr>
        <w:rPr>
          <w:rFonts w:cs="Arial"/>
          <w:i/>
          <w:szCs w:val="24"/>
        </w:rPr>
      </w:pPr>
      <w:r>
        <w:rPr>
          <w:rFonts w:cs="Arial"/>
          <w:i/>
          <w:color w:val="202124"/>
          <w:shd w:val="clear" w:color="auto" w:fill="FFFFFF"/>
        </w:rPr>
        <w:t xml:space="preserve">For </w:t>
      </w:r>
      <w:proofErr w:type="spellStart"/>
      <w:r>
        <w:rPr>
          <w:rFonts w:cs="Arial"/>
          <w:i/>
          <w:color w:val="202124"/>
          <w:shd w:val="clear" w:color="auto" w:fill="FFFFFF"/>
        </w:rPr>
        <w:t>JCVI</w:t>
      </w:r>
      <w:proofErr w:type="spellEnd"/>
      <w:r>
        <w:rPr>
          <w:rFonts w:cs="Arial"/>
          <w:i/>
          <w:color w:val="202124"/>
          <w:shd w:val="clear" w:color="auto" w:fill="FFFFFF"/>
        </w:rPr>
        <w:t xml:space="preserve"> definition please see the </w:t>
      </w:r>
      <w:hyperlink r:id="rId5" w:history="1">
        <w:r w:rsidRPr="006722BE">
          <w:rPr>
            <w:rStyle w:val="Hyperlink"/>
            <w:rFonts w:cs="Arial"/>
            <w:i/>
            <w:shd w:val="clear" w:color="auto" w:fill="FFFFFF"/>
          </w:rPr>
          <w:t>Green Book</w:t>
        </w:r>
      </w:hyperlink>
      <w:r>
        <w:rPr>
          <w:rFonts w:cs="Arial"/>
          <w:i/>
          <w:color w:val="202124"/>
          <w:shd w:val="clear" w:color="auto" w:fill="FFFFFF"/>
        </w:rPr>
        <w:t xml:space="preserve"> (</w:t>
      </w:r>
      <w:proofErr w:type="spellStart"/>
      <w:r>
        <w:rPr>
          <w:rFonts w:cs="Arial"/>
          <w:i/>
          <w:color w:val="202124"/>
          <w:shd w:val="clear" w:color="auto" w:fill="FFFFFF"/>
        </w:rPr>
        <w:t>Pg</w:t>
      </w:r>
      <w:proofErr w:type="spellEnd"/>
      <w:r>
        <w:rPr>
          <w:rFonts w:cs="Arial"/>
          <w:i/>
          <w:color w:val="202124"/>
          <w:shd w:val="clear" w:color="auto" w:fill="FFFFFF"/>
        </w:rPr>
        <w:t xml:space="preserve"> 13)</w:t>
      </w:r>
    </w:p>
    <w:p w:rsidR="00553F87" w:rsidRPr="0024192B" w:rsidRDefault="00553F87" w:rsidP="00553F87">
      <w:pPr>
        <w:rPr>
          <w:rFonts w:cs="Arial"/>
          <w:b/>
          <w:szCs w:val="24"/>
        </w:rPr>
      </w:pPr>
    </w:p>
    <w:p w:rsidR="00553F87" w:rsidRPr="0024192B" w:rsidRDefault="00553F87" w:rsidP="00553F87">
      <w:pPr>
        <w:rPr>
          <w:rFonts w:cs="Arial"/>
          <w:b/>
          <w:szCs w:val="24"/>
        </w:rPr>
      </w:pPr>
      <w:r w:rsidRPr="0024192B">
        <w:rPr>
          <w:rFonts w:cs="Arial"/>
          <w:b/>
          <w:szCs w:val="24"/>
        </w:rPr>
        <w:t>Why does being immunosuppressed i</w:t>
      </w:r>
      <w:r w:rsidR="008F7549">
        <w:rPr>
          <w:rFonts w:cs="Arial"/>
          <w:b/>
          <w:szCs w:val="24"/>
        </w:rPr>
        <w:t>ncrease risk in COVID-19</w:t>
      </w:r>
      <w:r w:rsidRPr="0024192B">
        <w:rPr>
          <w:rFonts w:cs="Arial"/>
          <w:b/>
          <w:szCs w:val="24"/>
        </w:rPr>
        <w:t>?</w:t>
      </w:r>
    </w:p>
    <w:p w:rsidR="00A75D27" w:rsidRDefault="00A75D27" w:rsidP="00553F87">
      <w:pPr>
        <w:rPr>
          <w:color w:val="1F497D"/>
        </w:rPr>
      </w:pPr>
    </w:p>
    <w:p w:rsidR="00553F87" w:rsidRPr="00A75D27" w:rsidRDefault="00A75D27" w:rsidP="00553F87">
      <w:pPr>
        <w:rPr>
          <w:rFonts w:cs="Arial"/>
          <w:b/>
          <w:i/>
          <w:szCs w:val="24"/>
        </w:rPr>
      </w:pPr>
      <w:r w:rsidRPr="00A75D27">
        <w:rPr>
          <w:i/>
        </w:rPr>
        <w:t>Data has shown this condition to be particularly associated with more severe outcomes from contracting COVID-19 infection.</w:t>
      </w:r>
    </w:p>
    <w:p w:rsidR="00553F87" w:rsidRPr="00A75D27" w:rsidRDefault="00553F87" w:rsidP="00553F87">
      <w:pPr>
        <w:rPr>
          <w:rFonts w:cs="Arial"/>
          <w:b/>
          <w:i/>
          <w:szCs w:val="24"/>
        </w:rPr>
      </w:pPr>
    </w:p>
    <w:p w:rsidR="00553F87" w:rsidRPr="00822271" w:rsidRDefault="00BF26F6" w:rsidP="00553F87">
      <w:pPr>
        <w:rPr>
          <w:i/>
          <w:lang w:val="en"/>
        </w:rPr>
      </w:pPr>
      <w:proofErr w:type="spellStart"/>
      <w:r w:rsidRPr="00A75D27">
        <w:rPr>
          <w:i/>
          <w:lang w:val="en"/>
        </w:rPr>
        <w:t>JCVI</w:t>
      </w:r>
      <w:proofErr w:type="spellEnd"/>
      <w:r w:rsidRPr="00A75D27">
        <w:rPr>
          <w:i/>
          <w:lang w:val="en"/>
        </w:rPr>
        <w:t xml:space="preserve"> also recommends that children and young people aged 12 to 17 who live with an immunosuppressed person should be offered the vaccine. This is to indirectly protect their immunosuppressed household contacts, who are at higher risk of serious disease from COVID-19 and may not generate a full immune response to vaccination</w:t>
      </w:r>
      <w:r w:rsidR="00A75D27" w:rsidRPr="00A75D27">
        <w:rPr>
          <w:i/>
          <w:lang w:val="en"/>
        </w:rPr>
        <w:t>.</w:t>
      </w:r>
    </w:p>
    <w:p w:rsidR="00553F87" w:rsidRPr="0024192B" w:rsidRDefault="00553F87" w:rsidP="00553F87">
      <w:pPr>
        <w:rPr>
          <w:rFonts w:cs="Arial"/>
          <w:b/>
          <w:szCs w:val="24"/>
        </w:rPr>
      </w:pPr>
    </w:p>
    <w:p w:rsidR="00553F87" w:rsidRPr="0024192B" w:rsidRDefault="00553F87" w:rsidP="00553F87">
      <w:pPr>
        <w:rPr>
          <w:rFonts w:cs="Arial"/>
          <w:b/>
          <w:szCs w:val="24"/>
        </w:rPr>
      </w:pPr>
      <w:r w:rsidRPr="0024192B">
        <w:rPr>
          <w:rFonts w:cs="Arial"/>
          <w:b/>
          <w:szCs w:val="24"/>
        </w:rPr>
        <w:t>My child has a condition and has lower immunity – why are they not included in this group?</w:t>
      </w:r>
    </w:p>
    <w:p w:rsidR="00553F87" w:rsidRDefault="00553F87" w:rsidP="00553F87">
      <w:pPr>
        <w:rPr>
          <w:rFonts w:cs="Arial"/>
          <w:b/>
          <w:szCs w:val="24"/>
        </w:rPr>
      </w:pPr>
    </w:p>
    <w:p w:rsidR="00FF16BC" w:rsidRPr="00822271" w:rsidRDefault="00FF16BC" w:rsidP="00553F87">
      <w:pPr>
        <w:rPr>
          <w:rFonts w:cs="Arial"/>
          <w:i/>
          <w:szCs w:val="24"/>
        </w:rPr>
      </w:pPr>
      <w:r w:rsidRPr="00822271">
        <w:rPr>
          <w:rFonts w:cs="Arial"/>
          <w:i/>
          <w:szCs w:val="24"/>
        </w:rPr>
        <w:t>NHS Scotland used the GP records of all people living in Scotland to identify those with immunocompromised (lower immunity) conditions to identify those people that would benefit from the vaccine. If you feel your child should be included and are not on the invite, then you need to contact your own GP to update the record and your GP can then refer your child to the local vaccination service.</w:t>
      </w:r>
    </w:p>
    <w:p w:rsidR="00FF16BC" w:rsidRDefault="00FF16BC" w:rsidP="00553F87">
      <w:pPr>
        <w:rPr>
          <w:rFonts w:cs="Arial"/>
          <w:b/>
          <w:szCs w:val="24"/>
        </w:rPr>
      </w:pPr>
    </w:p>
    <w:p w:rsidR="005C3446" w:rsidRPr="0024192B" w:rsidRDefault="005C3446" w:rsidP="00553F87">
      <w:pPr>
        <w:rPr>
          <w:rFonts w:cs="Arial"/>
          <w:b/>
          <w:szCs w:val="24"/>
        </w:rPr>
      </w:pPr>
    </w:p>
    <w:p w:rsidR="00553F87" w:rsidRPr="0024192B" w:rsidRDefault="00553F87" w:rsidP="00553F87">
      <w:pPr>
        <w:rPr>
          <w:rFonts w:cs="Arial"/>
          <w:b/>
          <w:szCs w:val="24"/>
          <w:u w:val="single"/>
        </w:rPr>
      </w:pPr>
      <w:r w:rsidRPr="0024192B">
        <w:rPr>
          <w:rFonts w:cs="Arial"/>
          <w:b/>
          <w:szCs w:val="24"/>
          <w:u w:val="single"/>
        </w:rPr>
        <w:t>Learning</w:t>
      </w:r>
      <w:r w:rsidR="00440E06">
        <w:rPr>
          <w:rFonts w:cs="Arial"/>
          <w:b/>
          <w:szCs w:val="24"/>
          <w:u w:val="single"/>
        </w:rPr>
        <w:t>/Intellectual</w:t>
      </w:r>
      <w:r w:rsidRPr="0024192B">
        <w:rPr>
          <w:rFonts w:cs="Arial"/>
          <w:b/>
          <w:szCs w:val="24"/>
          <w:u w:val="single"/>
        </w:rPr>
        <w:t xml:space="preserve"> Disability</w:t>
      </w:r>
    </w:p>
    <w:p w:rsidR="00553F87" w:rsidRPr="0024192B" w:rsidRDefault="00553F87" w:rsidP="00553F87">
      <w:pPr>
        <w:rPr>
          <w:rFonts w:cs="Arial"/>
          <w:b/>
          <w:szCs w:val="24"/>
        </w:rPr>
      </w:pPr>
    </w:p>
    <w:p w:rsidR="00440E06" w:rsidRDefault="008F7549" w:rsidP="00553F87">
      <w:pPr>
        <w:rPr>
          <w:rFonts w:cs="Arial"/>
          <w:b/>
          <w:szCs w:val="24"/>
        </w:rPr>
      </w:pPr>
      <w:r>
        <w:rPr>
          <w:rFonts w:cs="Arial"/>
          <w:b/>
          <w:szCs w:val="24"/>
        </w:rPr>
        <w:t>What is the d</w:t>
      </w:r>
      <w:r w:rsidR="00553F87" w:rsidRPr="0024192B">
        <w:rPr>
          <w:rFonts w:cs="Arial"/>
          <w:b/>
          <w:szCs w:val="24"/>
        </w:rPr>
        <w:t xml:space="preserve">efinition of </w:t>
      </w:r>
      <w:r>
        <w:rPr>
          <w:rFonts w:cs="Arial"/>
          <w:b/>
          <w:szCs w:val="24"/>
        </w:rPr>
        <w:t>‘learning</w:t>
      </w:r>
      <w:r w:rsidR="00FD30DC">
        <w:rPr>
          <w:rFonts w:cs="Arial"/>
          <w:b/>
          <w:szCs w:val="24"/>
        </w:rPr>
        <w:t>/intellectual</w:t>
      </w:r>
      <w:r>
        <w:rPr>
          <w:rFonts w:cs="Arial"/>
          <w:b/>
          <w:szCs w:val="24"/>
        </w:rPr>
        <w:t xml:space="preserve"> d</w:t>
      </w:r>
      <w:r w:rsidR="00553F87" w:rsidRPr="0024192B">
        <w:rPr>
          <w:rFonts w:cs="Arial"/>
          <w:b/>
          <w:szCs w:val="24"/>
        </w:rPr>
        <w:t>isabilities</w:t>
      </w:r>
      <w:r>
        <w:rPr>
          <w:rFonts w:cs="Arial"/>
          <w:b/>
          <w:szCs w:val="24"/>
        </w:rPr>
        <w:t>’</w:t>
      </w:r>
      <w:r w:rsidR="00553F87" w:rsidRPr="0024192B">
        <w:rPr>
          <w:rFonts w:cs="Arial"/>
          <w:b/>
          <w:szCs w:val="24"/>
        </w:rPr>
        <w:t>?</w:t>
      </w:r>
    </w:p>
    <w:p w:rsidR="00440E06" w:rsidRDefault="00440E06" w:rsidP="00553F87">
      <w:pPr>
        <w:rPr>
          <w:rFonts w:cs="Arial"/>
          <w:b/>
          <w:szCs w:val="24"/>
        </w:rPr>
      </w:pPr>
    </w:p>
    <w:p w:rsidR="00440E06" w:rsidRPr="00822271" w:rsidRDefault="00440E06" w:rsidP="00440E06">
      <w:pPr>
        <w:rPr>
          <w:rFonts w:cs="Arial"/>
          <w:i/>
          <w:szCs w:val="24"/>
        </w:rPr>
      </w:pPr>
      <w:r w:rsidRPr="00822271">
        <w:rPr>
          <w:rFonts w:cs="Arial"/>
          <w:i/>
          <w:szCs w:val="24"/>
        </w:rPr>
        <w:t xml:space="preserve">A learning/intellectual disability is significant and lifelong. It starts before adulthood </w:t>
      </w:r>
    </w:p>
    <w:p w:rsidR="00440E06" w:rsidRPr="00822271" w:rsidRDefault="00440E06" w:rsidP="00440E06">
      <w:pPr>
        <w:rPr>
          <w:rFonts w:cs="Arial"/>
          <w:i/>
          <w:szCs w:val="24"/>
        </w:rPr>
      </w:pPr>
      <w:r w:rsidRPr="00822271">
        <w:rPr>
          <w:rFonts w:cs="Arial"/>
          <w:i/>
          <w:szCs w:val="24"/>
        </w:rPr>
        <w:t xml:space="preserve">and affects the person’s development. This means that a person with a </w:t>
      </w:r>
    </w:p>
    <w:p w:rsidR="00440E06" w:rsidRPr="00822271" w:rsidRDefault="00440E06" w:rsidP="00440E06">
      <w:pPr>
        <w:rPr>
          <w:rFonts w:cs="Arial"/>
          <w:i/>
          <w:szCs w:val="24"/>
        </w:rPr>
      </w:pPr>
      <w:r w:rsidRPr="00822271">
        <w:rPr>
          <w:rFonts w:cs="Arial"/>
          <w:i/>
          <w:szCs w:val="24"/>
        </w:rPr>
        <w:lastRenderedPageBreak/>
        <w:t xml:space="preserve">learning/intellectual disability will be likely to need help to understand information, </w:t>
      </w:r>
    </w:p>
    <w:p w:rsidR="00FD30DC" w:rsidRPr="00822271" w:rsidRDefault="00440E06" w:rsidP="00440E06">
      <w:pPr>
        <w:rPr>
          <w:rFonts w:cs="Arial"/>
          <w:i/>
          <w:szCs w:val="24"/>
        </w:rPr>
      </w:pPr>
      <w:r w:rsidRPr="00822271">
        <w:rPr>
          <w:rFonts w:cs="Arial"/>
          <w:i/>
          <w:szCs w:val="24"/>
        </w:rPr>
        <w:t>learn skills and live a fulfilling life. Some people with learning/intellectual disabilities will also have healthcare needs and require support to communicate.</w:t>
      </w:r>
    </w:p>
    <w:p w:rsidR="00440E06" w:rsidRPr="00822271" w:rsidRDefault="00440E06" w:rsidP="00440E06">
      <w:pPr>
        <w:rPr>
          <w:rFonts w:cs="Arial"/>
          <w:i/>
          <w:szCs w:val="24"/>
        </w:rPr>
      </w:pPr>
    </w:p>
    <w:p w:rsidR="00440E06" w:rsidRDefault="00440E06" w:rsidP="00553F87">
      <w:pPr>
        <w:rPr>
          <w:rFonts w:cs="Arial"/>
          <w:i/>
          <w:color w:val="000000"/>
          <w:shd w:val="clear" w:color="auto" w:fill="FFFFFF"/>
        </w:rPr>
      </w:pPr>
      <w:r w:rsidRPr="00822271">
        <w:rPr>
          <w:rFonts w:cs="Arial"/>
          <w:i/>
          <w:color w:val="000000"/>
          <w:shd w:val="clear" w:color="auto" w:fill="FFFFFF"/>
        </w:rPr>
        <w:t>'Learning/intellectual disability’ is an umbrella term covering many different conditions. They are often categorised as mild, moderate, severe or profound</w:t>
      </w:r>
      <w:r w:rsidR="00465696">
        <w:rPr>
          <w:rFonts w:cs="Arial"/>
          <w:i/>
          <w:color w:val="000000"/>
          <w:shd w:val="clear" w:color="auto" w:fill="FFFFFF"/>
        </w:rPr>
        <w:t xml:space="preserve"> and are clinically diagnosed</w:t>
      </w:r>
      <w:r w:rsidRPr="00822271">
        <w:rPr>
          <w:rFonts w:cs="Arial"/>
          <w:i/>
          <w:color w:val="000000"/>
          <w:shd w:val="clear" w:color="auto" w:fill="FFFFFF"/>
        </w:rPr>
        <w:t>.</w:t>
      </w:r>
    </w:p>
    <w:p w:rsidR="00465696" w:rsidRPr="00822271" w:rsidRDefault="00465696" w:rsidP="00553F87">
      <w:pPr>
        <w:rPr>
          <w:rFonts w:cs="Arial"/>
          <w:i/>
          <w:color w:val="000000"/>
          <w:shd w:val="clear" w:color="auto" w:fill="FFFFFF"/>
        </w:rPr>
      </w:pPr>
    </w:p>
    <w:p w:rsidR="00440E06" w:rsidRPr="00822271" w:rsidRDefault="00440E06" w:rsidP="00440E06">
      <w:pPr>
        <w:rPr>
          <w:rFonts w:cs="Arial"/>
          <w:b/>
          <w:i/>
          <w:szCs w:val="24"/>
        </w:rPr>
      </w:pPr>
      <w:r w:rsidRPr="00822271">
        <w:rPr>
          <w:rFonts w:cs="Arial"/>
          <w:i/>
          <w:color w:val="000000"/>
          <w:shd w:val="clear" w:color="auto" w:fill="FFFFFF"/>
        </w:rPr>
        <w:t xml:space="preserve">It is important to be really clear about definitions. Learning/Intellectual Disabilities are different from learning difficulties such as dyslexia or ADHD. Learning Difficulties are conditions which causes problems with certain abilities used for learning, such as reading and writing. </w:t>
      </w:r>
    </w:p>
    <w:p w:rsidR="00440E06" w:rsidRDefault="00440E06" w:rsidP="00553F87">
      <w:pPr>
        <w:rPr>
          <w:rFonts w:cs="Arial"/>
          <w:b/>
          <w:szCs w:val="24"/>
        </w:rPr>
      </w:pPr>
    </w:p>
    <w:p w:rsidR="00553F87" w:rsidRPr="0024192B" w:rsidRDefault="00BF26F6" w:rsidP="00553F87">
      <w:pPr>
        <w:rPr>
          <w:rFonts w:cs="Arial"/>
          <w:b/>
          <w:szCs w:val="24"/>
        </w:rPr>
      </w:pPr>
      <w:r>
        <w:rPr>
          <w:rFonts w:cs="Arial"/>
          <w:b/>
          <w:szCs w:val="24"/>
        </w:rPr>
        <w:t>Why d</w:t>
      </w:r>
      <w:r w:rsidR="0032090C">
        <w:rPr>
          <w:rFonts w:cs="Arial"/>
          <w:b/>
          <w:szCs w:val="24"/>
        </w:rPr>
        <w:t>oes h</w:t>
      </w:r>
      <w:r w:rsidR="008F7549">
        <w:rPr>
          <w:rFonts w:cs="Arial"/>
          <w:b/>
          <w:szCs w:val="24"/>
        </w:rPr>
        <w:t>aving a l</w:t>
      </w:r>
      <w:r w:rsidR="00553F87" w:rsidRPr="0024192B">
        <w:rPr>
          <w:rFonts w:cs="Arial"/>
          <w:b/>
          <w:szCs w:val="24"/>
        </w:rPr>
        <w:t>earnin</w:t>
      </w:r>
      <w:r w:rsidR="008F7549">
        <w:rPr>
          <w:rFonts w:cs="Arial"/>
          <w:b/>
          <w:szCs w:val="24"/>
        </w:rPr>
        <w:t>g</w:t>
      </w:r>
      <w:r w:rsidR="00440E06">
        <w:rPr>
          <w:rFonts w:cs="Arial"/>
          <w:b/>
          <w:szCs w:val="24"/>
        </w:rPr>
        <w:t>/intellectual</w:t>
      </w:r>
      <w:r w:rsidR="008F7549">
        <w:rPr>
          <w:rFonts w:cs="Arial"/>
          <w:b/>
          <w:szCs w:val="24"/>
        </w:rPr>
        <w:t xml:space="preserve"> d</w:t>
      </w:r>
      <w:r w:rsidR="00553F87" w:rsidRPr="0024192B">
        <w:rPr>
          <w:rFonts w:cs="Arial"/>
          <w:b/>
          <w:szCs w:val="24"/>
        </w:rPr>
        <w:t>isa</w:t>
      </w:r>
      <w:r w:rsidR="008F7549">
        <w:rPr>
          <w:rFonts w:cs="Arial"/>
          <w:b/>
          <w:szCs w:val="24"/>
        </w:rPr>
        <w:t>bility increase risk in COVID-19</w:t>
      </w:r>
      <w:r w:rsidR="00553F87" w:rsidRPr="0024192B">
        <w:rPr>
          <w:rFonts w:cs="Arial"/>
          <w:b/>
          <w:szCs w:val="24"/>
        </w:rPr>
        <w:t>?</w:t>
      </w:r>
    </w:p>
    <w:p w:rsidR="00553F87" w:rsidRPr="0024192B" w:rsidRDefault="00553F87" w:rsidP="00553F87">
      <w:pPr>
        <w:rPr>
          <w:rFonts w:cs="Arial"/>
          <w:b/>
          <w:szCs w:val="24"/>
        </w:rPr>
      </w:pPr>
    </w:p>
    <w:p w:rsidR="0032090C" w:rsidRPr="00A75D27" w:rsidRDefault="0032090C" w:rsidP="0032090C">
      <w:pPr>
        <w:rPr>
          <w:rFonts w:cs="Arial"/>
          <w:b/>
          <w:i/>
          <w:szCs w:val="24"/>
        </w:rPr>
      </w:pPr>
      <w:r w:rsidRPr="00A75D27">
        <w:rPr>
          <w:i/>
        </w:rPr>
        <w:t>Data has shown th</w:t>
      </w:r>
      <w:r w:rsidR="00440E06">
        <w:rPr>
          <w:i/>
        </w:rPr>
        <w:t>ese</w:t>
      </w:r>
      <w:r w:rsidRPr="00A75D27">
        <w:rPr>
          <w:i/>
        </w:rPr>
        <w:t xml:space="preserve"> condition</w:t>
      </w:r>
      <w:r w:rsidR="00440E06">
        <w:rPr>
          <w:i/>
        </w:rPr>
        <w:t>s</w:t>
      </w:r>
      <w:r w:rsidRPr="00A75D27">
        <w:rPr>
          <w:i/>
        </w:rPr>
        <w:t xml:space="preserve"> </w:t>
      </w:r>
      <w:r w:rsidR="00440E06">
        <w:rPr>
          <w:i/>
        </w:rPr>
        <w:t>are</w:t>
      </w:r>
      <w:r w:rsidRPr="00A75D27">
        <w:rPr>
          <w:i/>
        </w:rPr>
        <w:t xml:space="preserve"> particularly associated with more severe outcomes from contracting COVID-19 infection.</w:t>
      </w:r>
    </w:p>
    <w:p w:rsidR="00553F87" w:rsidRPr="0024192B" w:rsidRDefault="00553F87" w:rsidP="00553F87">
      <w:pPr>
        <w:rPr>
          <w:rFonts w:cs="Arial"/>
          <w:b/>
          <w:szCs w:val="24"/>
        </w:rPr>
      </w:pPr>
    </w:p>
    <w:p w:rsidR="00553F87" w:rsidRPr="0024192B" w:rsidRDefault="008F7549" w:rsidP="00553F87">
      <w:pPr>
        <w:rPr>
          <w:rFonts w:cs="Arial"/>
          <w:b/>
          <w:szCs w:val="24"/>
        </w:rPr>
      </w:pPr>
      <w:r>
        <w:rPr>
          <w:rFonts w:cs="Arial"/>
          <w:b/>
          <w:szCs w:val="24"/>
        </w:rPr>
        <w:t>My child has a learning d</w:t>
      </w:r>
      <w:r w:rsidR="00553F87" w:rsidRPr="0024192B">
        <w:rPr>
          <w:rFonts w:cs="Arial"/>
          <w:b/>
          <w:szCs w:val="24"/>
        </w:rPr>
        <w:t>ifficult</w:t>
      </w:r>
      <w:r>
        <w:rPr>
          <w:rFonts w:cs="Arial"/>
          <w:b/>
          <w:szCs w:val="24"/>
        </w:rPr>
        <w:t>y/additional s</w:t>
      </w:r>
      <w:r w:rsidR="00553F87" w:rsidRPr="0024192B">
        <w:rPr>
          <w:rFonts w:cs="Arial"/>
          <w:b/>
          <w:szCs w:val="24"/>
        </w:rPr>
        <w:t>upp</w:t>
      </w:r>
      <w:r>
        <w:rPr>
          <w:rFonts w:cs="Arial"/>
          <w:b/>
          <w:szCs w:val="24"/>
        </w:rPr>
        <w:t>ort and/or educational needs (</w:t>
      </w:r>
      <w:proofErr w:type="spellStart"/>
      <w:r w:rsidR="00822271">
        <w:rPr>
          <w:rFonts w:cs="Arial"/>
          <w:b/>
          <w:szCs w:val="24"/>
        </w:rPr>
        <w:t>eg</w:t>
      </w:r>
      <w:proofErr w:type="spellEnd"/>
      <w:r w:rsidR="00553F87" w:rsidRPr="0024192B">
        <w:rPr>
          <w:rFonts w:cs="Arial"/>
          <w:b/>
          <w:szCs w:val="24"/>
        </w:rPr>
        <w:t xml:space="preserve"> Dyslexia</w:t>
      </w:r>
      <w:r w:rsidR="00FD30DC">
        <w:rPr>
          <w:rFonts w:cs="Arial"/>
          <w:b/>
          <w:szCs w:val="24"/>
        </w:rPr>
        <w:t xml:space="preserve"> or ADHD)</w:t>
      </w:r>
      <w:r w:rsidR="00553F87" w:rsidRPr="0024192B">
        <w:rPr>
          <w:rFonts w:cs="Arial"/>
          <w:b/>
          <w:szCs w:val="24"/>
        </w:rPr>
        <w:t xml:space="preserve"> – why are they not included in this group?</w:t>
      </w:r>
    </w:p>
    <w:p w:rsidR="00553F87" w:rsidRPr="0024192B" w:rsidRDefault="00553F87" w:rsidP="00553F87">
      <w:pPr>
        <w:rPr>
          <w:rFonts w:cs="Arial"/>
          <w:b/>
          <w:szCs w:val="24"/>
        </w:rPr>
      </w:pPr>
    </w:p>
    <w:p w:rsidR="00553F87" w:rsidRDefault="00FD30DC" w:rsidP="00553F87">
      <w:pPr>
        <w:rPr>
          <w:i/>
        </w:rPr>
      </w:pPr>
      <w:r>
        <w:rPr>
          <w:i/>
        </w:rPr>
        <w:t xml:space="preserve">These </w:t>
      </w:r>
      <w:r w:rsidR="00440E06">
        <w:rPr>
          <w:i/>
        </w:rPr>
        <w:t xml:space="preserve">conditions are not included in what would be diagnosed clinically as </w:t>
      </w:r>
      <w:r>
        <w:rPr>
          <w:i/>
        </w:rPr>
        <w:t xml:space="preserve">Learning/Intellectual Disabilities (as per the definition above). </w:t>
      </w:r>
      <w:proofErr w:type="spellStart"/>
      <w:r w:rsidR="0032090C" w:rsidRPr="0032090C">
        <w:rPr>
          <w:i/>
        </w:rPr>
        <w:t>JCVI</w:t>
      </w:r>
      <w:proofErr w:type="spellEnd"/>
      <w:r w:rsidR="0032090C" w:rsidRPr="0032090C">
        <w:rPr>
          <w:i/>
        </w:rPr>
        <w:t xml:space="preserve"> advice is based on the current available clinical data, and having considered the risks and benefits of the vaccine in younger members of our society. Until more data becomes available, the </w:t>
      </w:r>
      <w:proofErr w:type="spellStart"/>
      <w:r w:rsidR="0032090C" w:rsidRPr="0032090C">
        <w:rPr>
          <w:i/>
        </w:rPr>
        <w:t>JCVI</w:t>
      </w:r>
      <w:proofErr w:type="spellEnd"/>
      <w:r w:rsidR="0032090C" w:rsidRPr="0032090C">
        <w:rPr>
          <w:i/>
        </w:rPr>
        <w:t> does not currently advise routine universal vaccination of children and young people under 18 years of age. </w:t>
      </w:r>
    </w:p>
    <w:p w:rsidR="008F7549" w:rsidRDefault="008F7549" w:rsidP="00553F87">
      <w:pPr>
        <w:rPr>
          <w:i/>
        </w:rPr>
      </w:pPr>
    </w:p>
    <w:p w:rsidR="00822271" w:rsidRDefault="00822271" w:rsidP="00553F87">
      <w:pPr>
        <w:rPr>
          <w:b/>
          <w:u w:val="single"/>
        </w:rPr>
      </w:pPr>
    </w:p>
    <w:p w:rsidR="008F7549" w:rsidRPr="008F7549" w:rsidRDefault="008F7549" w:rsidP="00553F87">
      <w:pPr>
        <w:rPr>
          <w:rFonts w:cs="Arial"/>
          <w:b/>
          <w:szCs w:val="24"/>
          <w:u w:val="single"/>
        </w:rPr>
      </w:pPr>
      <w:r w:rsidRPr="008F7549">
        <w:rPr>
          <w:b/>
          <w:u w:val="single"/>
        </w:rPr>
        <w:t>General</w:t>
      </w:r>
    </w:p>
    <w:p w:rsidR="00553F87" w:rsidRPr="0024192B" w:rsidRDefault="00553F87" w:rsidP="00553F87">
      <w:pPr>
        <w:rPr>
          <w:rFonts w:cs="Arial"/>
          <w:b/>
          <w:szCs w:val="24"/>
        </w:rPr>
      </w:pPr>
    </w:p>
    <w:p w:rsidR="00BF26F6" w:rsidRPr="0024192B" w:rsidRDefault="008F7549" w:rsidP="00BF26F6">
      <w:pPr>
        <w:rPr>
          <w:rFonts w:cs="Arial"/>
          <w:b/>
          <w:szCs w:val="24"/>
        </w:rPr>
      </w:pPr>
      <w:r>
        <w:rPr>
          <w:rFonts w:cs="Arial"/>
          <w:b/>
          <w:szCs w:val="24"/>
        </w:rPr>
        <w:t>As a parent I am anxious about giving the vaccine to my child – w</w:t>
      </w:r>
      <w:r w:rsidR="00BF26F6" w:rsidRPr="0024192B">
        <w:rPr>
          <w:rFonts w:cs="Arial"/>
          <w:b/>
          <w:szCs w:val="24"/>
        </w:rPr>
        <w:t>hat are the risks?</w:t>
      </w:r>
    </w:p>
    <w:p w:rsidR="003C6494" w:rsidRDefault="003C6494" w:rsidP="00BF26F6">
      <w:pPr>
        <w:rPr>
          <w:rFonts w:cs="Arial"/>
          <w:i/>
          <w:szCs w:val="24"/>
        </w:rPr>
      </w:pPr>
    </w:p>
    <w:p w:rsidR="00FD30DC" w:rsidRDefault="003C6494" w:rsidP="00BF26F6">
      <w:pPr>
        <w:rPr>
          <w:i/>
        </w:rPr>
      </w:pPr>
      <w:r w:rsidRPr="003C6494">
        <w:rPr>
          <w:i/>
        </w:rPr>
        <w:t>NHS Scotland will only use a vaccine if it meets the required standards of safety and effectiveness. All medicines, including vaccines, are tested for safety and effectiveness before they’re allowed to be used. The Medicines and Healthcare products Regulatory Agency (</w:t>
      </w:r>
      <w:proofErr w:type="spellStart"/>
      <w:r w:rsidRPr="003C6494">
        <w:rPr>
          <w:i/>
        </w:rPr>
        <w:t>MHRA</w:t>
      </w:r>
      <w:proofErr w:type="spellEnd"/>
      <w:r w:rsidRPr="003C6494">
        <w:rPr>
          <w:i/>
        </w:rPr>
        <w:t xml:space="preserve">) has to assess all the data and also ensure a vaccine works and that all the necessary trials and checks have been completed. </w:t>
      </w:r>
    </w:p>
    <w:p w:rsidR="00FD30DC" w:rsidRDefault="00FD30DC" w:rsidP="00BF26F6">
      <w:pPr>
        <w:rPr>
          <w:i/>
        </w:rPr>
      </w:pPr>
    </w:p>
    <w:p w:rsidR="003C6494" w:rsidRPr="003C6494" w:rsidRDefault="003C6494" w:rsidP="00BF26F6">
      <w:pPr>
        <w:rPr>
          <w:rFonts w:cs="Arial"/>
          <w:i/>
          <w:szCs w:val="24"/>
        </w:rPr>
      </w:pPr>
      <w:r w:rsidRPr="003C6494">
        <w:rPr>
          <w:i/>
        </w:rPr>
        <w:t xml:space="preserve">The </w:t>
      </w:r>
      <w:proofErr w:type="spellStart"/>
      <w:r w:rsidRPr="003C6494">
        <w:rPr>
          <w:i/>
        </w:rPr>
        <w:t>MHRA</w:t>
      </w:r>
      <w:proofErr w:type="spellEnd"/>
      <w:r w:rsidRPr="003C6494">
        <w:rPr>
          <w:i/>
        </w:rPr>
        <w:t xml:space="preserve"> will only approve a vaccine for supply in the UK if the expected standards of safety, quality and efficacy are met. The safety and effectiveness of the COVID-19 vaccines continues to be checked while in use.</w:t>
      </w:r>
    </w:p>
    <w:p w:rsidR="00FD30DC" w:rsidRDefault="00FD30DC" w:rsidP="00BF26F6">
      <w:pPr>
        <w:rPr>
          <w:rFonts w:cs="Arial"/>
          <w:i/>
          <w:szCs w:val="24"/>
        </w:rPr>
      </w:pPr>
    </w:p>
    <w:p w:rsidR="00553F87" w:rsidRPr="00822271" w:rsidRDefault="00BF26F6" w:rsidP="00553F87">
      <w:pPr>
        <w:rPr>
          <w:rFonts w:cs="Arial"/>
          <w:i/>
          <w:szCs w:val="24"/>
        </w:rPr>
      </w:pPr>
      <w:proofErr w:type="spellStart"/>
      <w:r w:rsidRPr="00EC7C4A">
        <w:rPr>
          <w:rFonts w:cs="Arial"/>
          <w:i/>
          <w:szCs w:val="24"/>
        </w:rPr>
        <w:t>JCVI</w:t>
      </w:r>
      <w:proofErr w:type="spellEnd"/>
      <w:r w:rsidRPr="00EC7C4A">
        <w:rPr>
          <w:rFonts w:cs="Arial"/>
          <w:i/>
          <w:szCs w:val="24"/>
        </w:rPr>
        <w:t xml:space="preserve"> recommend the Pfizer vaccination for children 12 years an over – as it has been </w:t>
      </w:r>
      <w:r w:rsidRPr="00EC7C4A">
        <w:rPr>
          <w:rFonts w:cs="Arial"/>
          <w:i/>
          <w:color w:val="0B0C0C"/>
          <w:szCs w:val="24"/>
          <w:shd w:val="clear" w:color="auto" w:fill="FFFFFF"/>
        </w:rPr>
        <w:t xml:space="preserve">authorised for use in persons aged 12 years and over in the UK. This follows evidence from a clinical trial where around 1,000 individuals aged 12 to 15 years received 2 doses of the vaccine. There is good evidence that the vaccine is relatively </w:t>
      </w:r>
      <w:proofErr w:type="spellStart"/>
      <w:r w:rsidRPr="00EC7C4A">
        <w:rPr>
          <w:rFonts w:cs="Arial"/>
          <w:i/>
          <w:color w:val="0B0C0C"/>
          <w:szCs w:val="24"/>
          <w:shd w:val="clear" w:color="auto" w:fill="FFFFFF"/>
        </w:rPr>
        <w:t>reactogenic</w:t>
      </w:r>
      <w:proofErr w:type="spellEnd"/>
      <w:r w:rsidRPr="00EC7C4A">
        <w:rPr>
          <w:rFonts w:cs="Arial"/>
          <w:i/>
          <w:color w:val="0B0C0C"/>
          <w:szCs w:val="24"/>
          <w:shd w:val="clear" w:color="auto" w:fill="FFFFFF"/>
        </w:rPr>
        <w:t xml:space="preserve"> in this age group, with short-lived side effects including fever being common.</w:t>
      </w:r>
    </w:p>
    <w:p w:rsidR="00553F87" w:rsidRPr="0024192B" w:rsidRDefault="00553F87" w:rsidP="00553F87">
      <w:pPr>
        <w:rPr>
          <w:rFonts w:cs="Arial"/>
          <w:szCs w:val="24"/>
        </w:rPr>
      </w:pPr>
    </w:p>
    <w:p w:rsidR="00027C27" w:rsidRPr="0024192B" w:rsidRDefault="00027C27" w:rsidP="00B561C0">
      <w:pPr>
        <w:rPr>
          <w:rFonts w:cs="Arial"/>
          <w:szCs w:val="24"/>
        </w:rPr>
      </w:pPr>
    </w:p>
    <w:sectPr w:rsidR="00027C27" w:rsidRPr="0024192B" w:rsidSect="00553F87">
      <w:pgSz w:w="11906" w:h="16838" w:code="9"/>
      <w:pgMar w:top="1134"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2F8259C4"/>
    <w:multiLevelType w:val="hybridMultilevel"/>
    <w:tmpl w:val="D57C9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3" w15:restartNumberingAfterBreak="0">
    <w:nsid w:val="72406422"/>
    <w:multiLevelType w:val="hybridMultilevel"/>
    <w:tmpl w:val="5DF0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87"/>
    <w:rsid w:val="00027C27"/>
    <w:rsid w:val="000C0CF4"/>
    <w:rsid w:val="00225B21"/>
    <w:rsid w:val="0024192B"/>
    <w:rsid w:val="00281579"/>
    <w:rsid w:val="00306C61"/>
    <w:rsid w:val="0032090C"/>
    <w:rsid w:val="00343142"/>
    <w:rsid w:val="0037582B"/>
    <w:rsid w:val="00387F80"/>
    <w:rsid w:val="003C6494"/>
    <w:rsid w:val="00440E06"/>
    <w:rsid w:val="00445479"/>
    <w:rsid w:val="00465696"/>
    <w:rsid w:val="00553F87"/>
    <w:rsid w:val="0059613C"/>
    <w:rsid w:val="005C3446"/>
    <w:rsid w:val="006722BE"/>
    <w:rsid w:val="00822271"/>
    <w:rsid w:val="00857548"/>
    <w:rsid w:val="008F7549"/>
    <w:rsid w:val="009B7615"/>
    <w:rsid w:val="00A57FAC"/>
    <w:rsid w:val="00A75D27"/>
    <w:rsid w:val="00AE0F34"/>
    <w:rsid w:val="00B51BDC"/>
    <w:rsid w:val="00B561C0"/>
    <w:rsid w:val="00B773CE"/>
    <w:rsid w:val="00BB596F"/>
    <w:rsid w:val="00BF26F6"/>
    <w:rsid w:val="00BF586F"/>
    <w:rsid w:val="00C91823"/>
    <w:rsid w:val="00D008AB"/>
    <w:rsid w:val="00EC7C4A"/>
    <w:rsid w:val="00FA4BC1"/>
    <w:rsid w:val="00FD30DC"/>
    <w:rsid w:val="00FD5084"/>
    <w:rsid w:val="00FF1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6D99"/>
  <w15:chartTrackingRefBased/>
  <w15:docId w15:val="{5F7F4F12-ACB6-4D24-B694-45DFF5A22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87"/>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553F87"/>
    <w:pPr>
      <w:ind w:left="720"/>
      <w:contextualSpacing/>
    </w:pPr>
  </w:style>
  <w:style w:type="character" w:styleId="CommentReference">
    <w:name w:val="annotation reference"/>
    <w:basedOn w:val="DefaultParagraphFont"/>
    <w:uiPriority w:val="99"/>
    <w:semiHidden/>
    <w:unhideWhenUsed/>
    <w:rsid w:val="00387F80"/>
    <w:rPr>
      <w:sz w:val="16"/>
      <w:szCs w:val="16"/>
    </w:rPr>
  </w:style>
  <w:style w:type="paragraph" w:styleId="CommentText">
    <w:name w:val="annotation text"/>
    <w:basedOn w:val="Normal"/>
    <w:link w:val="CommentTextChar"/>
    <w:uiPriority w:val="99"/>
    <w:semiHidden/>
    <w:unhideWhenUsed/>
    <w:rsid w:val="00387F80"/>
    <w:rPr>
      <w:sz w:val="20"/>
    </w:rPr>
  </w:style>
  <w:style w:type="character" w:customStyle="1" w:styleId="CommentTextChar">
    <w:name w:val="Comment Text Char"/>
    <w:basedOn w:val="DefaultParagraphFont"/>
    <w:link w:val="CommentText"/>
    <w:uiPriority w:val="99"/>
    <w:semiHidden/>
    <w:rsid w:val="00387F80"/>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87F80"/>
    <w:rPr>
      <w:b/>
      <w:bCs/>
    </w:rPr>
  </w:style>
  <w:style w:type="character" w:customStyle="1" w:styleId="CommentSubjectChar">
    <w:name w:val="Comment Subject Char"/>
    <w:basedOn w:val="CommentTextChar"/>
    <w:link w:val="CommentSubject"/>
    <w:uiPriority w:val="99"/>
    <w:semiHidden/>
    <w:rsid w:val="00387F80"/>
    <w:rPr>
      <w:rFonts w:ascii="Arial" w:hAnsi="Arial" w:cs="Times New Roman"/>
      <w:b/>
      <w:bCs/>
      <w:sz w:val="20"/>
      <w:szCs w:val="20"/>
    </w:rPr>
  </w:style>
  <w:style w:type="paragraph" w:styleId="BalloonText">
    <w:name w:val="Balloon Text"/>
    <w:basedOn w:val="Normal"/>
    <w:link w:val="BalloonTextChar"/>
    <w:uiPriority w:val="99"/>
    <w:semiHidden/>
    <w:unhideWhenUsed/>
    <w:rsid w:val="00387F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F80"/>
    <w:rPr>
      <w:rFonts w:ascii="Segoe UI" w:hAnsi="Segoe UI" w:cs="Segoe UI"/>
      <w:sz w:val="18"/>
      <w:szCs w:val="18"/>
    </w:rPr>
  </w:style>
  <w:style w:type="character" w:styleId="Hyperlink">
    <w:name w:val="Hyperlink"/>
    <w:basedOn w:val="DefaultParagraphFont"/>
    <w:uiPriority w:val="99"/>
    <w:unhideWhenUsed/>
    <w:rsid w:val="006722BE"/>
    <w:rPr>
      <w:color w:val="0563C1" w:themeColor="hyperlink"/>
      <w:u w:val="single"/>
    </w:rPr>
  </w:style>
  <w:style w:type="character" w:styleId="FollowedHyperlink">
    <w:name w:val="FollowedHyperlink"/>
    <w:basedOn w:val="DefaultParagraphFont"/>
    <w:uiPriority w:val="99"/>
    <w:semiHidden/>
    <w:unhideWhenUsed/>
    <w:rsid w:val="006722BE"/>
    <w:rPr>
      <w:color w:val="954F72" w:themeColor="followedHyperlink"/>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qFormat/>
    <w:locked/>
    <w:rsid w:val="00445479"/>
    <w:rPr>
      <w:rFonts w:ascii="Arial" w:hAnsi="Arial" w:cs="Times New Roman"/>
      <w:sz w:val="24"/>
      <w:szCs w:val="20"/>
    </w:rPr>
  </w:style>
  <w:style w:type="paragraph" w:styleId="Revision">
    <w:name w:val="Revision"/>
    <w:hidden/>
    <w:uiPriority w:val="99"/>
    <w:semiHidden/>
    <w:rsid w:val="00FD30DC"/>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884736">
      <w:bodyDiv w:val="1"/>
      <w:marLeft w:val="0"/>
      <w:marRight w:val="0"/>
      <w:marTop w:val="0"/>
      <w:marBottom w:val="0"/>
      <w:divBdr>
        <w:top w:val="none" w:sz="0" w:space="0" w:color="auto"/>
        <w:left w:val="none" w:sz="0" w:space="0" w:color="auto"/>
        <w:bottom w:val="none" w:sz="0" w:space="0" w:color="auto"/>
        <w:right w:val="none" w:sz="0" w:space="0" w:color="auto"/>
      </w:divBdr>
    </w:div>
    <w:div w:id="884826616">
      <w:bodyDiv w:val="1"/>
      <w:marLeft w:val="0"/>
      <w:marRight w:val="0"/>
      <w:marTop w:val="0"/>
      <w:marBottom w:val="0"/>
      <w:divBdr>
        <w:top w:val="none" w:sz="0" w:space="0" w:color="auto"/>
        <w:left w:val="none" w:sz="0" w:space="0" w:color="auto"/>
        <w:bottom w:val="none" w:sz="0" w:space="0" w:color="auto"/>
        <w:right w:val="none" w:sz="0" w:space="0" w:color="auto"/>
      </w:divBdr>
    </w:div>
    <w:div w:id="11612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sets.publishing.service.gov.uk/government/uploads/system/uploads/attachment_data/file/998309/Greenbook_chapter_14a_1July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1041</Words>
  <Characters>5936</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Duffy</dc:creator>
  <cp:keywords/>
  <dc:description/>
  <cp:lastModifiedBy>n413503</cp:lastModifiedBy>
  <cp:revision>2</cp:revision>
  <dcterms:created xsi:type="dcterms:W3CDTF">2021-07-30T12:09:00Z</dcterms:created>
  <dcterms:modified xsi:type="dcterms:W3CDTF">2021-07-30T12:09:00Z</dcterms:modified>
</cp:coreProperties>
</file>