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4814" w14:textId="5D58A727" w:rsidR="00EE0463" w:rsidRDefault="00EE0463" w:rsidP="00EE0463">
      <w:pPr>
        <w:spacing w:after="20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9A217A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Homework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WB </w:t>
      </w:r>
      <w:r w:rsidR="00747D8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15</w:t>
      </w:r>
      <w:r w:rsidR="00747D81" w:rsidRPr="00747D81"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47D8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September</w:t>
      </w:r>
    </w:p>
    <w:tbl>
      <w:tblPr>
        <w:tblStyle w:val="TableGrid"/>
        <w:tblW w:w="0" w:type="auto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8775"/>
      </w:tblGrid>
      <w:tr w:rsidR="00EE0463" w14:paraId="4B272B99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B0334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49A21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4C66B6DC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B81EF04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2BB1ECE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9"/>
              <w:gridCol w:w="3576"/>
            </w:tblGrid>
            <w:tr w:rsidR="00EE0463" w14:paraId="216E61D4" w14:textId="77777777" w:rsidTr="00140BE8">
              <w:trPr>
                <w:trHeight w:val="300"/>
              </w:trPr>
              <w:tc>
                <w:tcPr>
                  <w:tcW w:w="4989" w:type="dxa"/>
                </w:tcPr>
                <w:p w14:paraId="1F13E468" w14:textId="54C9F85C" w:rsidR="00EE0463" w:rsidRPr="00EE0463" w:rsidRDefault="00EE0463" w:rsidP="00F83820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EE0463">
                    <w:rPr>
                      <w:rFonts w:ascii="Arial" w:eastAsia="Arial" w:hAnsi="Arial" w:cs="Arial"/>
                      <w:b/>
                      <w:bCs/>
                    </w:rPr>
                    <w:t xml:space="preserve">Phonics </w:t>
                  </w:r>
                </w:p>
                <w:p w14:paraId="21146ED2" w14:textId="77777777" w:rsidR="00EE0463" w:rsidRPr="00EE0463" w:rsidRDefault="00EE0463" w:rsidP="00F83820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14:paraId="2C1F881D" w14:textId="47980458" w:rsidR="00EE0463" w:rsidRDefault="00EE0463" w:rsidP="00F83820">
                  <w:pPr>
                    <w:rPr>
                      <w:rFonts w:ascii="Arial" w:eastAsia="Arial" w:hAnsi="Arial" w:cs="Arial"/>
                    </w:rPr>
                  </w:pPr>
                  <w:r w:rsidRPr="00EE0463">
                    <w:rPr>
                      <w:rFonts w:ascii="Arial" w:eastAsia="Arial" w:hAnsi="Arial" w:cs="Arial"/>
                    </w:rPr>
                    <w:t xml:space="preserve">In phonics, we have </w:t>
                  </w:r>
                  <w:r w:rsidR="000B278F">
                    <w:rPr>
                      <w:rFonts w:ascii="Arial" w:eastAsia="Arial" w:hAnsi="Arial" w:cs="Arial"/>
                    </w:rPr>
                    <w:t>been learning our</w:t>
                  </w:r>
                  <w:r w:rsidRPr="00EE0463">
                    <w:rPr>
                      <w:rFonts w:ascii="Arial" w:eastAsia="Arial" w:hAnsi="Arial" w:cs="Arial"/>
                    </w:rPr>
                    <w:t xml:space="preserve"> initial sounds. </w:t>
                  </w:r>
                </w:p>
                <w:p w14:paraId="3490E7F5" w14:textId="77777777" w:rsidR="00027DFB" w:rsidRDefault="00027DFB" w:rsidP="00F83820">
                  <w:pPr>
                    <w:rPr>
                      <w:rFonts w:ascii="Arial" w:eastAsia="Arial" w:hAnsi="Arial" w:cs="Arial"/>
                    </w:rPr>
                  </w:pPr>
                </w:p>
                <w:p w14:paraId="750D88E4" w14:textId="535CE503" w:rsidR="00027DFB" w:rsidRDefault="00027DFB" w:rsidP="00F8382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This week, we are working on: </w:t>
                  </w:r>
                </w:p>
                <w:p w14:paraId="4D8FD6A6" w14:textId="77777777" w:rsidR="00027DFB" w:rsidRDefault="00027DFB" w:rsidP="00F83820">
                  <w:pPr>
                    <w:rPr>
                      <w:rFonts w:ascii="Arial" w:eastAsia="Arial" w:hAnsi="Arial" w:cs="Arial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027DFB" w14:paraId="7970D504" w14:textId="77777777" w:rsidTr="00027DFB">
                    <w:tc>
                      <w:tcPr>
                        <w:tcW w:w="1208" w:type="dxa"/>
                      </w:tcPr>
                      <w:p w14:paraId="1EE2AF6E" w14:textId="1054AE71" w:rsidR="00027DFB" w:rsidRDefault="00747D81" w:rsidP="00F83820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</w:tr>
                  <w:tr w:rsidR="00027DFB" w14:paraId="04B07BD9" w14:textId="77777777" w:rsidTr="00027DFB">
                    <w:tc>
                      <w:tcPr>
                        <w:tcW w:w="1208" w:type="dxa"/>
                      </w:tcPr>
                      <w:p w14:paraId="78A8F449" w14:textId="055C13C7" w:rsidR="00027DFB" w:rsidRDefault="00747D81" w:rsidP="00F83820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</w:p>
                    </w:tc>
                  </w:tr>
                </w:tbl>
                <w:p w14:paraId="5210B7F5" w14:textId="77777777" w:rsidR="00027DFB" w:rsidRPr="00EE0463" w:rsidRDefault="00027DFB" w:rsidP="00F83820">
                  <w:pPr>
                    <w:rPr>
                      <w:rFonts w:ascii="Arial" w:eastAsia="Arial" w:hAnsi="Arial" w:cs="Arial"/>
                    </w:rPr>
                  </w:pPr>
                </w:p>
                <w:p w14:paraId="7F7D9276" w14:textId="55B50527" w:rsidR="00EE0463" w:rsidRDefault="00027DFB" w:rsidP="00F8382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Our words of the week are: </w:t>
                  </w:r>
                </w:p>
                <w:p w14:paraId="64463C2E" w14:textId="77777777" w:rsidR="00027DFB" w:rsidRDefault="00027DFB" w:rsidP="00F83820">
                  <w:pPr>
                    <w:rPr>
                      <w:rFonts w:ascii="Arial" w:eastAsia="Arial" w:hAnsi="Arial" w:cs="Arial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027DFB" w14:paraId="3ADA6F41" w14:textId="77777777" w:rsidTr="00027DFB">
                    <w:tc>
                      <w:tcPr>
                        <w:tcW w:w="1208" w:type="dxa"/>
                      </w:tcPr>
                      <w:p w14:paraId="5A8852B9" w14:textId="3781E903" w:rsidR="00027DFB" w:rsidRDefault="00747D81" w:rsidP="00F83820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it</w:t>
                        </w:r>
                      </w:p>
                    </w:tc>
                  </w:tr>
                  <w:tr w:rsidR="00027DFB" w14:paraId="16C3FABB" w14:textId="77777777" w:rsidTr="00027DFB">
                    <w:tc>
                      <w:tcPr>
                        <w:tcW w:w="1208" w:type="dxa"/>
                      </w:tcPr>
                      <w:p w14:paraId="68EAE79A" w14:textId="70C45894" w:rsidR="00027DFB" w:rsidRDefault="00747D81" w:rsidP="00F83820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in</w:t>
                        </w:r>
                      </w:p>
                    </w:tc>
                  </w:tr>
                  <w:tr w:rsidR="00027DFB" w14:paraId="1A36882A" w14:textId="77777777" w:rsidTr="00027DFB">
                    <w:tc>
                      <w:tcPr>
                        <w:tcW w:w="1208" w:type="dxa"/>
                      </w:tcPr>
                      <w:p w14:paraId="77768E1B" w14:textId="1F244789" w:rsidR="00027DFB" w:rsidRDefault="00747D81" w:rsidP="00F83820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</w:p>
                    </w:tc>
                  </w:tr>
                </w:tbl>
                <w:p w14:paraId="592E3EE6" w14:textId="3B1F336D" w:rsidR="00A54EF5" w:rsidRDefault="00A54EF5" w:rsidP="00A54EF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14:paraId="49DAEF1B" w14:textId="6750FE40" w:rsidR="00140BE8" w:rsidRPr="00140BE8" w:rsidRDefault="00140BE8" w:rsidP="00140BE8">
                  <w:pPr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Can you think of words that have your sounds of the week in them? What words </w:t>
                  </w:r>
                  <w:r w:rsidR="00CB2C6C">
                    <w:rPr>
                      <w:rFonts w:ascii="Arial" w:eastAsia="Arial" w:hAnsi="Arial" w:cs="Arial"/>
                      <w:i/>
                      <w:iCs/>
                    </w:rPr>
                    <w:t>start with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 ‘</w:t>
                  </w:r>
                  <w:r w:rsidR="00D51924">
                    <w:rPr>
                      <w:rFonts w:ascii="Arial" w:eastAsia="Arial" w:hAnsi="Arial" w:cs="Arial"/>
                      <w:i/>
                      <w:iCs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’? What words </w:t>
                  </w:r>
                  <w:r w:rsidR="00CB2C6C">
                    <w:rPr>
                      <w:rFonts w:ascii="Arial" w:eastAsia="Arial" w:hAnsi="Arial" w:cs="Arial"/>
                      <w:i/>
                      <w:iCs/>
                    </w:rPr>
                    <w:t>start with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 ‘</w:t>
                  </w:r>
                  <w:r w:rsidR="00D51924">
                    <w:rPr>
                      <w:rFonts w:ascii="Arial" w:eastAsia="Arial" w:hAnsi="Arial" w:cs="Arial"/>
                      <w:i/>
                      <w:iCs/>
                    </w:rPr>
                    <w:t>i’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? </w:t>
                  </w:r>
                  <w:r w:rsidR="00CB2C6C">
                    <w:rPr>
                      <w:rFonts w:ascii="Arial" w:eastAsia="Arial" w:hAnsi="Arial" w:cs="Arial"/>
                      <w:i/>
                      <w:iCs/>
                    </w:rPr>
                    <w:t>Can you think of any words that have both these sounds in them?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 xml:space="preserve"> </w:t>
                  </w:r>
                  <w:r w:rsidR="002770A6">
                    <w:rPr>
                      <w:rFonts w:ascii="Arial" w:eastAsia="Arial" w:hAnsi="Arial" w:cs="Arial"/>
                      <w:i/>
                      <w:iCs/>
                    </w:rPr>
                    <w:t>Work with an adult to check that:</w:t>
                  </w:r>
                </w:p>
                <w:p w14:paraId="7490BE5D" w14:textId="77777777" w:rsidR="00140BE8" w:rsidRDefault="00140BE8" w:rsidP="00140BE8">
                  <w:pPr>
                    <w:rPr>
                      <w:rFonts w:ascii="Arial" w:eastAsia="Arial" w:hAnsi="Arial" w:cs="Arial"/>
                    </w:rPr>
                  </w:pPr>
                </w:p>
                <w:p w14:paraId="6FE3D8D6" w14:textId="19404A00" w:rsidR="00140BE8" w:rsidRDefault="002770A6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you can hear your sounds in words</w:t>
                  </w:r>
                </w:p>
                <w:p w14:paraId="13028F0B" w14:textId="27F8CF0D" w:rsidR="00140BE8" w:rsidRPr="001D2EC4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you can </w:t>
                  </w:r>
                  <w:r w:rsidR="00140BE8"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see</w:t>
                  </w: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 your</w:t>
                  </w:r>
                  <w:r w:rsidR="00140BE8"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 sounds in words</w:t>
                  </w:r>
                </w:p>
                <w:p w14:paraId="643651DD" w14:textId="1428B8EA" w:rsidR="00140BE8" w:rsidRPr="001D2EC4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you can </w:t>
                  </w:r>
                  <w:r w:rsidR="00140BE8"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say your words</w:t>
                  </w: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 of the week</w:t>
                  </w:r>
                </w:p>
                <w:p w14:paraId="12EF8652" w14:textId="710E01B5" w:rsidR="00140BE8" w:rsidRPr="001D2EC4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you can </w:t>
                  </w:r>
                  <w:r w:rsidR="00140BE8"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write </w:t>
                  </w: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your sounds and your</w:t>
                  </w:r>
                  <w:r w:rsidR="00140BE8"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 xml:space="preserve"> words </w:t>
                  </w: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of the week</w:t>
                  </w:r>
                </w:p>
                <w:p w14:paraId="0A00B502" w14:textId="7B635220" w:rsidR="00140BE8" w:rsidRPr="001D2EC4" w:rsidRDefault="00140BE8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  <w:t>recognise any rules in your tricky words</w:t>
                  </w:r>
                </w:p>
                <w:p w14:paraId="582CD090" w14:textId="77777777" w:rsidR="00140BE8" w:rsidRPr="001D2EC4" w:rsidRDefault="00140BE8" w:rsidP="00140BE8">
                  <w:pPr>
                    <w:rPr>
                      <w:rFonts w:ascii="Arial" w:eastAsia="Arial" w:hAnsi="Arial" w:cs="Arial"/>
                    </w:rPr>
                  </w:pPr>
                </w:p>
                <w:p w14:paraId="4A49FF0D" w14:textId="77777777" w:rsidR="00140BE8" w:rsidRPr="001D2EC4" w:rsidRDefault="00140BE8" w:rsidP="00140BE8">
                  <w:pPr>
                    <w:rPr>
                      <w:rFonts w:ascii="Arial" w:eastAsia="Arial" w:hAnsi="Arial" w:cs="Arial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</w:rPr>
                    <w:t xml:space="preserve">Encourage learners to follow the five step rule: Say it, Break it, Make it, Blend it and Read it, then Write it. </w:t>
                  </w:r>
                </w:p>
                <w:p w14:paraId="13CA6E4A" w14:textId="77777777" w:rsidR="00140BE8" w:rsidRPr="001D2EC4" w:rsidRDefault="00140BE8" w:rsidP="00140BE8">
                  <w:pPr>
                    <w:rPr>
                      <w:rFonts w:ascii="Arial" w:eastAsia="Arial" w:hAnsi="Arial" w:cs="Arial"/>
                    </w:rPr>
                  </w:pPr>
                </w:p>
                <w:p w14:paraId="57F5DB2F" w14:textId="77777777" w:rsidR="00140BE8" w:rsidRPr="001D2EC4" w:rsidRDefault="00140BE8" w:rsidP="00140BE8">
                  <w:pPr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hyperlink r:id="rId6">
                    <w:r w:rsidRPr="001D2EC4">
                      <w:rPr>
                        <w:rStyle w:val="Hyperlink"/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>https://ictgames.com/mobilePage/writingRepeater/index.html</w:t>
                    </w:r>
                  </w:hyperlink>
                </w:p>
                <w:p w14:paraId="0DE66CCC" w14:textId="77777777" w:rsidR="00140BE8" w:rsidRPr="001D2EC4" w:rsidRDefault="00140BE8" w:rsidP="00140BE8">
                  <w:pPr>
                    <w:rPr>
                      <w:rFonts w:ascii="Arial" w:eastAsia="Arial" w:hAnsi="Arial" w:cs="Arial"/>
                    </w:rPr>
                  </w:pPr>
                </w:p>
                <w:p w14:paraId="2C17A053" w14:textId="11F6CFED" w:rsidR="00EE0463" w:rsidRPr="001D2EC4" w:rsidRDefault="00140BE8" w:rsidP="00140BE8">
                  <w:pP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</w:pPr>
                  <w:r w:rsidRPr="001D2EC4">
                    <w:rPr>
                      <w:rFonts w:ascii="Arial" w:eastAsia="Arial" w:hAnsi="Arial" w:cs="Arial"/>
                      <w:i/>
                      <w:iCs/>
                    </w:rPr>
                    <w:t xml:space="preserve">Try learning your </w:t>
                  </w:r>
                  <w:r w:rsidR="001D2EC4" w:rsidRPr="001D2EC4">
                    <w:rPr>
                      <w:rFonts w:ascii="Arial" w:eastAsia="Arial" w:hAnsi="Arial" w:cs="Arial"/>
                      <w:i/>
                      <w:iCs/>
                    </w:rPr>
                    <w:t>sounds and words, through</w:t>
                  </w:r>
                  <w:r w:rsidRPr="001D2EC4">
                    <w:rPr>
                      <w:rFonts w:ascii="Arial" w:eastAsia="Arial" w:hAnsi="Arial" w:cs="Arial"/>
                      <w:i/>
                      <w:iCs/>
                    </w:rPr>
                    <w:t xml:space="preserve"> some active spelling strategies</w:t>
                  </w:r>
                  <w:r w:rsidR="001D2EC4" w:rsidRPr="001D2EC4">
                    <w:rPr>
                      <w:rFonts w:ascii="Arial" w:eastAsia="Arial" w:hAnsi="Arial" w:cs="Arial"/>
                      <w:i/>
                      <w:iCs/>
                    </w:rPr>
                    <w:t xml:space="preserve"> too. You could use pasta, shaving foam, porridge oats, sand to practice making your sounds and words. </w:t>
                  </w:r>
                </w:p>
              </w:tc>
            </w:tr>
            <w:tr w:rsidR="00EE0463" w14:paraId="36D9F137" w14:textId="77777777" w:rsidTr="00A73B13">
              <w:trPr>
                <w:trHeight w:val="300"/>
              </w:trPr>
              <w:tc>
                <w:tcPr>
                  <w:tcW w:w="4989" w:type="dxa"/>
                  <w:tcMar>
                    <w:left w:w="105" w:type="dxa"/>
                    <w:right w:w="105" w:type="dxa"/>
                  </w:tcMar>
                </w:tcPr>
                <w:p w14:paraId="22ABB50B" w14:textId="77777777" w:rsidR="00EE0463" w:rsidRDefault="00EE0463" w:rsidP="00F83820">
                  <w:pPr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 w:rsidRPr="49A217A2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Reading</w:t>
                  </w:r>
                </w:p>
                <w:p w14:paraId="304D3539" w14:textId="77777777" w:rsidR="00EE0463" w:rsidRDefault="00EE0463" w:rsidP="00F83820">
                  <w:pPr>
                    <w:rPr>
                      <w:rFonts w:ascii="Arial" w:eastAsia="Arial" w:hAnsi="Arial" w:cs="Arial"/>
                    </w:rPr>
                  </w:pPr>
                  <w:r w:rsidRPr="49A217A2">
                    <w:rPr>
                      <w:rFonts w:ascii="Arial" w:eastAsia="Arial" w:hAnsi="Arial" w:cs="Arial"/>
                      <w:i/>
                      <w:iCs/>
                    </w:rPr>
                    <w:t xml:space="preserve"> </w:t>
                  </w:r>
                </w:p>
                <w:p w14:paraId="1CFF9776" w14:textId="5EDC6AB7" w:rsidR="00EE0463" w:rsidRDefault="00EE0463" w:rsidP="00F83820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 xml:space="preserve">Over the next few weeks, learners will begin their P1 reading journey. The whole-class will be starting on Lilac First Steps books. </w:t>
                  </w:r>
                  <w:r>
                    <w:rPr>
                      <w:rFonts w:ascii="Arial" w:eastAsia="Arial" w:hAnsi="Arial" w:cs="Arial"/>
                      <w:color w:val="000000" w:themeColor="text1"/>
                    </w:rPr>
                    <w:lastRenderedPageBreak/>
                    <w:t xml:space="preserve">These books will be for whole-class learning only and will not be assigned for homework. After we have learnt our first initial sounds in class, learners will then be assigned Pink A books on Rocket Phonics. Log-ins for this will be available </w:t>
                  </w:r>
                  <w:r w:rsidR="00637F2D">
                    <w:rPr>
                      <w:rFonts w:ascii="Arial" w:eastAsia="Arial" w:hAnsi="Arial" w:cs="Arial"/>
                      <w:color w:val="000000" w:themeColor="text1"/>
                    </w:rPr>
                    <w:t>in the front page of homework jotters</w:t>
                  </w:r>
                  <w:r>
                    <w:rPr>
                      <w:rFonts w:ascii="Arial" w:eastAsia="Arial" w:hAnsi="Arial" w:cs="Arial"/>
                      <w:color w:val="000000" w:themeColor="text1"/>
                    </w:rPr>
                    <w:t xml:space="preserve">. </w:t>
                  </w:r>
                </w:p>
                <w:p w14:paraId="60849867" w14:textId="77777777" w:rsidR="00EE0463" w:rsidRDefault="00EE0463" w:rsidP="00F83820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  <w:p w14:paraId="1F292D3C" w14:textId="77777777" w:rsidR="003C4D20" w:rsidRDefault="003C4D20" w:rsidP="003C4D20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 xml:space="preserve">In class, we have been listening to the story of ‘The Rainbow Fish’. Watch the story here - </w:t>
                  </w:r>
                  <w:hyperlink r:id="rId7" w:history="1">
                    <w:r w:rsidR="004778F3" w:rsidRPr="00FA335A">
                      <w:rPr>
                        <w:rStyle w:val="Hyperlink"/>
                        <w:rFonts w:ascii="Arial" w:eastAsia="Arial" w:hAnsi="Arial" w:cs="Arial"/>
                      </w:rPr>
                      <w:t>https://storylineonline.net/books/the-rainbow-fish/</w:t>
                    </w:r>
                  </w:hyperlink>
                </w:p>
                <w:p w14:paraId="146255D9" w14:textId="40B006E0" w:rsidR="003C4D20" w:rsidRDefault="003C4D20" w:rsidP="003C4D20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br/>
                  </w:r>
                  <w:r w:rsidR="00CF1AC3">
                    <w:rPr>
                      <w:rFonts w:ascii="Arial" w:eastAsia="Arial" w:hAnsi="Arial" w:cs="Arial"/>
                      <w:color w:val="000000" w:themeColor="text1"/>
                    </w:rPr>
                    <w:t xml:space="preserve">Tell an adult about a time that you have been a good friend. </w:t>
                  </w:r>
                  <w:r w:rsidR="000B278F">
                    <w:rPr>
                      <w:rFonts w:ascii="Arial" w:eastAsia="Arial" w:hAnsi="Arial" w:cs="Arial"/>
                      <w:color w:val="000000" w:themeColor="text1"/>
                    </w:rPr>
                    <w:t xml:space="preserve">What makes a good friend? Why is friendship important? </w:t>
                  </w:r>
                </w:p>
              </w:tc>
              <w:tc>
                <w:tcPr>
                  <w:tcW w:w="3576" w:type="dxa"/>
                  <w:shd w:val="clear" w:color="auto" w:fill="D9D9D9" w:themeFill="background1" w:themeFillShade="D9"/>
                  <w:tcMar>
                    <w:left w:w="105" w:type="dxa"/>
                    <w:right w:w="105" w:type="dxa"/>
                  </w:tcMar>
                </w:tcPr>
                <w:p w14:paraId="191F5DE3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31A48C4E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00F09F0F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29F9E0DC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557BBD90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0D7991C7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4B4DD316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5655E577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136B904C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218DEB2E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5088DD43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0026230B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75256EAD" w14:textId="77777777" w:rsidR="00EE0463" w:rsidRDefault="00EE0463" w:rsidP="00EE0463">
                  <w:pPr>
                    <w:rPr>
                      <w:rFonts w:ascii="Arial" w:eastAsia="Arial" w:hAnsi="Arial" w:cs="Arial"/>
                      <w:i/>
                      <w:iCs/>
                      <w:color w:val="000000" w:themeColor="text1"/>
                    </w:rPr>
                  </w:pPr>
                </w:p>
                <w:p w14:paraId="1B84205B" w14:textId="00A86031" w:rsidR="00EE0463" w:rsidRDefault="00EE0463" w:rsidP="00A73B13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EE0463" w14:paraId="010CB842" w14:textId="77777777" w:rsidTr="00A73B13">
              <w:trPr>
                <w:trHeight w:val="300"/>
              </w:trPr>
              <w:tc>
                <w:tcPr>
                  <w:tcW w:w="4989" w:type="dxa"/>
                  <w:tcMar>
                    <w:left w:w="105" w:type="dxa"/>
                    <w:right w:w="105" w:type="dxa"/>
                  </w:tcMar>
                </w:tcPr>
                <w:p w14:paraId="6207A09F" w14:textId="77777777" w:rsidR="00EE0463" w:rsidRDefault="00EE0463" w:rsidP="00F83820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</w:pPr>
                  <w:r w:rsidRPr="00EE0463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Writing</w:t>
                  </w:r>
                </w:p>
                <w:p w14:paraId="11917246" w14:textId="77777777" w:rsidR="00E16149" w:rsidRDefault="00E16149" w:rsidP="00F83820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14:paraId="2CCBBA1A" w14:textId="62622970" w:rsidR="00E16149" w:rsidRDefault="00E16149" w:rsidP="00F83820">
                  <w:pPr>
                    <w:rPr>
                      <w:rFonts w:ascii="Arial" w:eastAsia="Arial" w:hAnsi="Arial" w:cs="Arial"/>
                    </w:rPr>
                  </w:pPr>
                  <w:r w:rsidRPr="00E16149">
                    <w:rPr>
                      <w:rFonts w:ascii="Arial" w:eastAsia="Arial" w:hAnsi="Arial" w:cs="Arial"/>
                    </w:rPr>
                    <w:t xml:space="preserve">Draw a picture of your weekend news. What did you do at the weekend? </w:t>
                  </w:r>
                </w:p>
                <w:p w14:paraId="2C309639" w14:textId="77777777" w:rsidR="00E16149" w:rsidRPr="00E16149" w:rsidRDefault="00E16149" w:rsidP="00F83820">
                  <w:pPr>
                    <w:rPr>
                      <w:rFonts w:ascii="Arial" w:eastAsia="Arial" w:hAnsi="Arial" w:cs="Arial"/>
                    </w:rPr>
                  </w:pPr>
                </w:p>
                <w:p w14:paraId="65CAD5E1" w14:textId="73027099" w:rsidR="00EE0463" w:rsidRPr="000B278F" w:rsidRDefault="00E16149" w:rsidP="00E16149">
                  <w:pPr>
                    <w:rPr>
                      <w:rFonts w:ascii="Arial" w:eastAsia="Arial" w:hAnsi="Arial" w:cs="Arial"/>
                    </w:rPr>
                  </w:pPr>
                  <w:r w:rsidRPr="00E16149">
                    <w:rPr>
                      <w:rFonts w:ascii="Arial" w:eastAsia="Arial" w:hAnsi="Arial" w:cs="Arial"/>
                    </w:rPr>
                    <w:t xml:space="preserve">Then, with support from adults at home, write a sentence about your weekend news. </w:t>
                  </w:r>
                </w:p>
              </w:tc>
              <w:tc>
                <w:tcPr>
                  <w:tcW w:w="3576" w:type="dxa"/>
                  <w:shd w:val="clear" w:color="auto" w:fill="D9D9D9" w:themeFill="background1" w:themeFillShade="D9"/>
                  <w:tcMar>
                    <w:left w:w="105" w:type="dxa"/>
                    <w:right w:w="105" w:type="dxa"/>
                  </w:tcMar>
                </w:tcPr>
                <w:p w14:paraId="3DD720A9" w14:textId="3813E18D" w:rsidR="00EE0463" w:rsidRDefault="00EE0463" w:rsidP="00F83820">
                  <w:pPr>
                    <w:rPr>
                      <w:rFonts w:ascii="Arial" w:eastAsia="Arial" w:hAnsi="Arial" w:cs="Arial"/>
                    </w:rPr>
                  </w:pPr>
                  <w:r w:rsidRPr="49A217A2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60056CAE" w14:textId="77777777" w:rsidR="00EE0463" w:rsidRDefault="00EE0463" w:rsidP="00F8382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EE0463" w14:paraId="1BD1B5BA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C07076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49A21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49A73D94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7942BC" w14:textId="2E7C2244" w:rsidR="00A73B13" w:rsidRDefault="00C10293" w:rsidP="00C10293">
            <w:pPr>
              <w:spacing w:line="240" w:lineRule="auto"/>
              <w:rPr>
                <w:rFonts w:ascii="Arial" w:hAnsi="Arial" w:cs="Arial"/>
                <w:color w:val="171717" w:themeColor="background2" w:themeShade="1A"/>
              </w:rPr>
            </w:pPr>
            <w:r>
              <w:rPr>
                <w:rFonts w:ascii="Arial" w:hAnsi="Arial" w:cs="Arial"/>
                <w:color w:val="171717" w:themeColor="background2" w:themeShade="1A"/>
              </w:rPr>
              <w:t>In numeracy, we have been working on identifying the names of 2D shape</w:t>
            </w:r>
            <w:r w:rsidR="0004068B">
              <w:rPr>
                <w:rFonts w:ascii="Arial" w:hAnsi="Arial" w:cs="Arial"/>
                <w:color w:val="171717" w:themeColor="background2" w:themeShade="1A"/>
              </w:rPr>
              <w:t xml:space="preserve"> (square, rectangle, triangle, circle)</w:t>
            </w:r>
            <w:r w:rsidR="00AA3029">
              <w:rPr>
                <w:rFonts w:ascii="Arial" w:hAnsi="Arial" w:cs="Arial"/>
                <w:color w:val="171717" w:themeColor="background2" w:themeShade="1A"/>
              </w:rPr>
              <w:t xml:space="preserve"> and the properties (sides and corners).</w:t>
            </w:r>
          </w:p>
          <w:p w14:paraId="7E6CBEE5" w14:textId="77777777" w:rsidR="0004068B" w:rsidRDefault="0004068B" w:rsidP="00C10293">
            <w:pPr>
              <w:spacing w:line="240" w:lineRule="auto"/>
              <w:rPr>
                <w:rFonts w:ascii="Arial" w:hAnsi="Arial" w:cs="Arial"/>
                <w:color w:val="171717" w:themeColor="background2" w:themeShade="1A"/>
              </w:rPr>
            </w:pPr>
          </w:p>
          <w:p w14:paraId="4D67218B" w14:textId="05DED607" w:rsidR="0004068B" w:rsidRDefault="0004068B" w:rsidP="00C10293">
            <w:pPr>
              <w:spacing w:line="240" w:lineRule="auto"/>
              <w:rPr>
                <w:rFonts w:ascii="Arial" w:hAnsi="Arial" w:cs="Arial"/>
                <w:color w:val="171717" w:themeColor="background2" w:themeShade="1A"/>
              </w:rPr>
            </w:pPr>
            <w:r>
              <w:rPr>
                <w:rFonts w:ascii="Arial" w:hAnsi="Arial" w:cs="Arial"/>
                <w:color w:val="171717" w:themeColor="background2" w:themeShade="1A"/>
              </w:rPr>
              <w:t xml:space="preserve">Play the 2D Shape Reveal game on Topmarks - </w:t>
            </w:r>
            <w:hyperlink r:id="rId8" w:history="1">
              <w:r w:rsidRPr="00FA335A">
                <w:rPr>
                  <w:rStyle w:val="Hyperlink"/>
                  <w:rFonts w:ascii="Arial" w:hAnsi="Arial" w:cs="Arial"/>
                </w:rPr>
                <w:t>https://www.topmarks.co.uk/shapes/2d-shape-reveal</w:t>
              </w:r>
            </w:hyperlink>
            <w:r>
              <w:rPr>
                <w:rFonts w:ascii="Arial" w:hAnsi="Arial" w:cs="Arial"/>
                <w:color w:val="171717" w:themeColor="background2" w:themeShade="1A"/>
              </w:rPr>
              <w:t xml:space="preserve"> </w:t>
            </w:r>
          </w:p>
          <w:p w14:paraId="3CD03D70" w14:textId="1C83589A" w:rsidR="00AA3029" w:rsidRPr="00EE0463" w:rsidRDefault="00AA3029" w:rsidP="00C10293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 each shape, try to identify the name of the shape and how many sides and corners the shape has. </w:t>
            </w:r>
          </w:p>
        </w:tc>
      </w:tr>
      <w:tr w:rsidR="00EE0463" w14:paraId="1CCD823C" w14:textId="77777777" w:rsidTr="00F83820">
        <w:trPr>
          <w:trHeight w:val="300"/>
        </w:trPr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55159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49A21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C3691E" w14:textId="77777777" w:rsidR="002F2EB0" w:rsidRDefault="002F2EB0" w:rsidP="00F83820">
            <w:pPr>
              <w:rPr>
                <w:rFonts w:ascii="Arial" w:hAnsi="Arial" w:cs="Arial"/>
                <w:color w:val="171717" w:themeColor="background2" w:themeShade="1A"/>
              </w:rPr>
            </w:pPr>
            <w:r>
              <w:rPr>
                <w:rFonts w:ascii="Arial" w:hAnsi="Arial" w:cs="Arial"/>
                <w:color w:val="171717" w:themeColor="background2" w:themeShade="1A"/>
              </w:rPr>
              <w:t xml:space="preserve">HWB: go a senses walk with an adult. </w:t>
            </w:r>
          </w:p>
          <w:p w14:paraId="337EA6B0" w14:textId="57AFEEF7" w:rsidR="00EE0463" w:rsidRDefault="002F2EB0" w:rsidP="00F8382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171717" w:themeColor="background2" w:themeShade="1A"/>
              </w:rPr>
              <w:br/>
              <w:t>Qs: What can you see? What can you hear? What can you smell? What can you feel? What can you taste?</w:t>
            </w:r>
          </w:p>
        </w:tc>
      </w:tr>
      <w:tr w:rsidR="00EE0463" w14:paraId="06523B8B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09F88A" w14:textId="77777777" w:rsidR="00EE0463" w:rsidRDefault="00EE0463" w:rsidP="00F8382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49A21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907737" w14:textId="1635F167" w:rsidR="00EE0463" w:rsidRDefault="00EE0463" w:rsidP="00F83820">
            <w:pPr>
              <w:jc w:val="center"/>
              <w:rPr>
                <w:rFonts w:ascii="Arial" w:eastAsia="Arial" w:hAnsi="Arial" w:cs="Arial"/>
                <w:color w:val="171717" w:themeColor="background2" w:themeShade="1A"/>
              </w:rPr>
            </w:pPr>
            <w:r w:rsidRPr="49A217A2">
              <w:rPr>
                <w:rFonts w:ascii="Arial" w:eastAsia="Arial" w:hAnsi="Arial" w:cs="Arial"/>
                <w:color w:val="171717" w:themeColor="background2" w:themeShade="1A"/>
              </w:rPr>
              <w:t xml:space="preserve">If you have any issues about </w:t>
            </w:r>
            <w:r w:rsidR="00A73B13">
              <w:rPr>
                <w:rFonts w:ascii="Arial" w:eastAsia="Arial" w:hAnsi="Arial" w:cs="Arial"/>
                <w:color w:val="171717" w:themeColor="background2" w:themeShade="1A"/>
              </w:rPr>
              <w:t xml:space="preserve">homework, </w:t>
            </w:r>
            <w:r w:rsidRPr="49A217A2">
              <w:rPr>
                <w:rFonts w:ascii="Arial" w:eastAsia="Arial" w:hAnsi="Arial" w:cs="Arial"/>
                <w:color w:val="171717" w:themeColor="background2" w:themeShade="1A"/>
              </w:rPr>
              <w:t xml:space="preserve">please contact: </w:t>
            </w:r>
          </w:p>
          <w:p w14:paraId="413A2B7B" w14:textId="77777777" w:rsidR="00EE0463" w:rsidRDefault="00EE0463" w:rsidP="00F83820">
            <w:pPr>
              <w:jc w:val="center"/>
              <w:rPr>
                <w:rFonts w:ascii="Arial" w:eastAsia="Arial" w:hAnsi="Arial" w:cs="Arial"/>
                <w:color w:val="0563C1"/>
              </w:rPr>
            </w:pPr>
          </w:p>
          <w:p w14:paraId="3FA4DE6C" w14:textId="4ED37315" w:rsidR="00A73B13" w:rsidRDefault="00EE0463" w:rsidP="00F83820">
            <w:r w:rsidRPr="49A217A2">
              <w:rPr>
                <w:rFonts w:ascii="Arial" w:eastAsia="Arial" w:hAnsi="Arial" w:cs="Arial"/>
              </w:rPr>
              <w:t xml:space="preserve">Miss Ronald </w:t>
            </w:r>
            <w:r w:rsidR="00A73B13">
              <w:rPr>
                <w:rFonts w:ascii="Arial" w:eastAsia="Arial" w:hAnsi="Arial" w:cs="Arial"/>
              </w:rPr>
              <w:t xml:space="preserve">at </w:t>
            </w:r>
            <w:hyperlink r:id="rId9" w:history="1">
              <w:r w:rsidR="00A73B13" w:rsidRPr="005155EC">
                <w:rPr>
                  <w:rStyle w:val="Hyperlink"/>
                  <w:rFonts w:ascii="Arial" w:eastAsia="Arial" w:hAnsi="Arial" w:cs="Arial"/>
                </w:rPr>
                <w:t>eaaimee.ronald@glow.sch.uk</w:t>
              </w:r>
            </w:hyperlink>
          </w:p>
          <w:p w14:paraId="5A0B809F" w14:textId="2C04A861" w:rsidR="00EE0463" w:rsidRPr="00A73B13" w:rsidRDefault="00A73B13" w:rsidP="00F8382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73B13">
              <w:rPr>
                <w:rFonts w:ascii="Arial" w:hAnsi="Arial" w:cs="Arial"/>
              </w:rPr>
              <w:t xml:space="preserve">Miss Barrett at </w:t>
            </w:r>
            <w:hyperlink r:id="rId10">
              <w:r w:rsidR="00EE0463" w:rsidRPr="00A73B13">
                <w:rPr>
                  <w:rStyle w:val="Hyperlink"/>
                  <w:rFonts w:ascii="Arial" w:eastAsia="Arial" w:hAnsi="Arial" w:cs="Arial"/>
                </w:rPr>
                <w:t>eajaye.barrett@glow.sch.uk</w:t>
              </w:r>
            </w:hyperlink>
          </w:p>
        </w:tc>
      </w:tr>
    </w:tbl>
    <w:p w14:paraId="4F858473" w14:textId="77777777" w:rsidR="005A45D7" w:rsidRDefault="005A45D7"/>
    <w:sectPr w:rsidR="005A4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A4A5"/>
    <w:multiLevelType w:val="hybridMultilevel"/>
    <w:tmpl w:val="3832418A"/>
    <w:lvl w:ilvl="0" w:tplc="D586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2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4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4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8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C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E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994A"/>
    <w:multiLevelType w:val="hybridMultilevel"/>
    <w:tmpl w:val="95A8D726"/>
    <w:lvl w:ilvl="0" w:tplc="84B6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B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4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50A"/>
    <w:multiLevelType w:val="hybridMultilevel"/>
    <w:tmpl w:val="F10C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67E83"/>
    <w:multiLevelType w:val="hybridMultilevel"/>
    <w:tmpl w:val="1EC6F702"/>
    <w:lvl w:ilvl="0" w:tplc="BA00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4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E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A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8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4997">
    <w:abstractNumId w:val="3"/>
  </w:num>
  <w:num w:numId="2" w16cid:durableId="1924337967">
    <w:abstractNumId w:val="0"/>
  </w:num>
  <w:num w:numId="3" w16cid:durableId="1597595322">
    <w:abstractNumId w:val="2"/>
  </w:num>
  <w:num w:numId="4" w16cid:durableId="137921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63"/>
    <w:rsid w:val="00027DFB"/>
    <w:rsid w:val="0004068B"/>
    <w:rsid w:val="000B278F"/>
    <w:rsid w:val="00140BE8"/>
    <w:rsid w:val="001D2EC4"/>
    <w:rsid w:val="002442EC"/>
    <w:rsid w:val="002770A6"/>
    <w:rsid w:val="002D6718"/>
    <w:rsid w:val="002F2EB0"/>
    <w:rsid w:val="003C4D20"/>
    <w:rsid w:val="00432CEA"/>
    <w:rsid w:val="004778F3"/>
    <w:rsid w:val="00496DAF"/>
    <w:rsid w:val="005004A9"/>
    <w:rsid w:val="005A45D7"/>
    <w:rsid w:val="006248B0"/>
    <w:rsid w:val="00637F2D"/>
    <w:rsid w:val="00665EFA"/>
    <w:rsid w:val="00747D81"/>
    <w:rsid w:val="00A019DA"/>
    <w:rsid w:val="00A21BC4"/>
    <w:rsid w:val="00A54EF5"/>
    <w:rsid w:val="00A63A67"/>
    <w:rsid w:val="00A73B13"/>
    <w:rsid w:val="00AA3029"/>
    <w:rsid w:val="00B41851"/>
    <w:rsid w:val="00C10293"/>
    <w:rsid w:val="00CB2C6C"/>
    <w:rsid w:val="00CF1AC3"/>
    <w:rsid w:val="00D31D2E"/>
    <w:rsid w:val="00D51924"/>
    <w:rsid w:val="00E16149"/>
    <w:rsid w:val="00EE0463"/>
    <w:rsid w:val="00EE383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4DD8"/>
  <w15:chartTrackingRefBased/>
  <w15:docId w15:val="{C78B544F-DE12-48EF-B620-CCD2412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63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4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4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4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4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4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4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46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463"/>
    <w:rPr>
      <w:color w:val="467886"/>
      <w:u w:val="single"/>
    </w:rPr>
  </w:style>
  <w:style w:type="table" w:styleId="TableGrid">
    <w:name w:val="Table Grid"/>
    <w:basedOn w:val="TableNormal"/>
    <w:uiPriority w:val="59"/>
    <w:rsid w:val="00EE0463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hapes/2d-shape-revea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rylineonline.net/books/the-rainbow-fish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tgames.com/mobilePage/writingRepeater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ajaye.barrett@glow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aimee.ronal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E15A-3679-41CD-8F65-E537B6E5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Ronald</dc:creator>
  <cp:keywords/>
  <dc:description/>
  <cp:lastModifiedBy>Miss Ronald</cp:lastModifiedBy>
  <cp:revision>29</cp:revision>
  <dcterms:created xsi:type="dcterms:W3CDTF">2025-09-01T19:47:00Z</dcterms:created>
  <dcterms:modified xsi:type="dcterms:W3CDTF">2025-09-12T16:01:00Z</dcterms:modified>
</cp:coreProperties>
</file>