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D8DE" w14:textId="540618B7" w:rsidR="008519CE" w:rsidRPr="00725DD6" w:rsidRDefault="007330B9" w:rsidP="008519CE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color w:val="FF0000"/>
          <w:lang w:eastAsia="en-GB"/>
        </w:rPr>
      </w:pPr>
      <w:r w:rsidRPr="00725DD6">
        <w:rPr>
          <w:rFonts w:ascii="Comic Sans MS" w:eastAsia="Times New Roman" w:hAnsi="Comic Sans MS" w:cs="Segoe UI"/>
          <w:b/>
          <w:bCs/>
          <w:color w:val="002060"/>
          <w:sz w:val="36"/>
          <w:szCs w:val="36"/>
          <w:lang w:eastAsia="en-GB"/>
        </w:rPr>
        <w:t>  </w:t>
      </w:r>
    </w:p>
    <w:p w14:paraId="31241A7C" w14:textId="033EFCA1" w:rsidR="009E653D" w:rsidRDefault="009E653D" w:rsidP="008519CE">
      <w:pPr>
        <w:spacing w:after="0" w:line="240" w:lineRule="auto"/>
        <w:jc w:val="center"/>
        <w:textAlignment w:val="baseline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516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</w:t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 xml:space="preserve">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F80B" w14:textId="77777777" w:rsidR="00981516" w:rsidRDefault="00981516" w:rsidP="008519CE">
      <w:pPr>
        <w:spacing w:after="0" w:line="240" w:lineRule="auto"/>
        <w:jc w:val="center"/>
        <w:textAlignment w:val="baseline"/>
        <w:rPr>
          <w:rFonts w:ascii="Comic Sans MS" w:hAnsi="Comic Sans MS"/>
          <w:b/>
          <w:bCs/>
          <w:color w:val="002060"/>
          <w:sz w:val="32"/>
          <w:szCs w:val="32"/>
        </w:rPr>
      </w:pPr>
    </w:p>
    <w:p w14:paraId="4C3825C6" w14:textId="4E8FB944" w:rsidR="00981516" w:rsidRPr="00901998" w:rsidRDefault="00981516" w:rsidP="00981516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29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 September 2025</w:t>
      </w:r>
    </w:p>
    <w:p w14:paraId="668EA81E" w14:textId="77777777" w:rsidR="00981516" w:rsidRPr="008519CE" w:rsidRDefault="00981516" w:rsidP="008519CE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color w:val="FF0000"/>
          <w:lang w:eastAsia="en-GB"/>
        </w:rPr>
      </w:pPr>
    </w:p>
    <w:p w14:paraId="4EE2ED17" w14:textId="77777777" w:rsidR="008519CE" w:rsidRPr="0052671D" w:rsidRDefault="008519CE" w:rsidP="0018149B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72AE7B72" w14:textId="77777777" w:rsidR="008519CE" w:rsidRPr="00E2526D" w:rsidRDefault="008519CE" w:rsidP="008519CE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1700968" w14:textId="2E5B6260" w:rsidR="008F6824" w:rsidRDefault="0083289B" w:rsidP="0083289B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6832668" w14:textId="4A4D4840" w:rsidR="0083289B" w:rsidRDefault="001A70A8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</w:t>
            </w:r>
            <w:r w:rsidR="0083289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week we are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consolidating </w:t>
            </w:r>
            <w:r w:rsidR="008519C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joined phonemes – </w:t>
            </w:r>
            <w:proofErr w:type="gramStart"/>
            <w:r w:rsidRPr="001A70A8">
              <w:rPr>
                <w:rFonts w:ascii="Comic Sans MS" w:eastAsia="Times New Roman" w:hAnsi="Comic Sans MS" w:cs="Times New Roman"/>
                <w:b/>
                <w:color w:val="7030A0"/>
                <w:sz w:val="20"/>
                <w:szCs w:val="20"/>
                <w:lang w:eastAsia="en-GB"/>
              </w:rPr>
              <w:t xml:space="preserve">ay  </w:t>
            </w:r>
            <w:proofErr w:type="spellStart"/>
            <w:r w:rsidRPr="001A70A8">
              <w:rPr>
                <w:rFonts w:ascii="Comic Sans MS" w:eastAsia="Times New Roman" w:hAnsi="Comic Sans MS" w:cs="Times New Roman"/>
                <w:b/>
                <w:color w:val="7030A0"/>
                <w:sz w:val="20"/>
                <w:szCs w:val="20"/>
                <w:lang w:eastAsia="en-GB"/>
              </w:rPr>
              <w:t>ea</w:t>
            </w:r>
            <w:proofErr w:type="spellEnd"/>
            <w:proofErr w:type="gramEnd"/>
            <w:r w:rsidRPr="001A70A8">
              <w:rPr>
                <w:rFonts w:ascii="Comic Sans MS" w:eastAsia="Times New Roman" w:hAnsi="Comic Sans MS" w:cs="Times New Roman"/>
                <w:b/>
                <w:color w:val="7030A0"/>
                <w:sz w:val="20"/>
                <w:szCs w:val="20"/>
                <w:lang w:eastAsia="en-GB"/>
              </w:rPr>
              <w:t xml:space="preserve">  ow</w:t>
            </w:r>
          </w:p>
          <w:p w14:paraId="68C2DA05" w14:textId="6F4F758A" w:rsidR="0083289B" w:rsidRDefault="0083289B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D6C31CF" w14:textId="5F3E004C" w:rsidR="00500FFB" w:rsidRDefault="0083289B" w:rsidP="001A70A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Get your child to make up the rainbow alphabet</w:t>
            </w:r>
            <w:r w:rsidR="001A70A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practise making, reading and writing words wit</w:t>
            </w:r>
            <w:r w:rsidR="005E70A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 these joined phonemes.</w:t>
            </w:r>
            <w:r w:rsidR="001177A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Below are the spelling lists for each joined phoneme.  Can you add any more?</w:t>
            </w:r>
          </w:p>
          <w:p w14:paraId="0FE85BD7" w14:textId="77777777" w:rsidR="001177AC" w:rsidRDefault="001177AC" w:rsidP="001177A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FA8D8F3" w14:textId="4BA5D753" w:rsidR="001177AC" w:rsidRPr="00500FFB" w:rsidRDefault="001177AC" w:rsidP="001177AC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 w:rsidRPr="001177AC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ay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- </w:t>
            </w:r>
            <w:r w:rsidRPr="00500FFB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day   tray   play   stay   prayer   way   clay</w:t>
            </w:r>
          </w:p>
          <w:p w14:paraId="31B99AB1" w14:textId="6D14B586" w:rsidR="001177AC" w:rsidRDefault="001177AC" w:rsidP="001A70A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proofErr w:type="spellStart"/>
            <w:r w:rsidRPr="001177AC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- speak   clean   steal   team   stream   eat  wheat</w:t>
            </w:r>
          </w:p>
          <w:p w14:paraId="2FA777A9" w14:textId="57BC2BB3" w:rsidR="001177AC" w:rsidRPr="00500FFB" w:rsidRDefault="001177AC" w:rsidP="001177AC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 w:rsidRPr="001177AC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ow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- low   grow   throw   follow   shallow   show   </w:t>
            </w:r>
          </w:p>
          <w:p w14:paraId="444BEBF2" w14:textId="77777777" w:rsidR="001177AC" w:rsidRPr="00500FFB" w:rsidRDefault="001177AC" w:rsidP="001A70A8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7523EE55" w14:textId="6EEC48F1" w:rsidR="00500FFB" w:rsidRDefault="00500FFB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669513D" w14:textId="77777777" w:rsidR="00BA139E" w:rsidRDefault="00BA139E" w:rsidP="0083289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C2D8448" w14:textId="01957294" w:rsidR="008519CE" w:rsidRDefault="008519CE" w:rsidP="008519C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83289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Challenge:  Your child can write sentences with their 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some of their 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words if they wish.</w:t>
            </w:r>
          </w:p>
          <w:p w14:paraId="03E6DF79" w14:textId="77777777" w:rsidR="0083289B" w:rsidRDefault="0083289B" w:rsidP="0083289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B0B5BFE" w14:textId="6AA38557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E3F5C75" wp14:editId="2035CA1B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7F782E1A" w14:textId="77777777" w:rsidR="0052671D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Numbers to 100</w:t>
            </w:r>
          </w:p>
          <w:p w14:paraId="74C09390" w14:textId="77777777" w:rsidR="00500FFB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3A2FF37" w14:textId="24DBE335" w:rsidR="00D64584" w:rsidRDefault="005E70A6" w:rsidP="00D64584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 xml:space="preserve">Using the 100 square in your child’s book bag, get them to practise finding numbers </w:t>
            </w:r>
            <w:r w:rsidR="00D64584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1/2/10</w:t>
            </w:r>
            <w:r w:rsidRPr="009015F8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 xml:space="preserve"> more than</w:t>
            </w: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 xml:space="preserve"> and </w:t>
            </w:r>
            <w:r w:rsidR="00D64584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 xml:space="preserve">1/2/10 </w:t>
            </w:r>
            <w:r w:rsidRPr="009015F8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less than</w:t>
            </w:r>
            <w:r w:rsidR="00D64584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t>.</w:t>
            </w:r>
          </w:p>
          <w:p w14:paraId="5C5D357A" w14:textId="2065EB10" w:rsidR="00D64584" w:rsidRDefault="00D64584" w:rsidP="00D64584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</w:pPr>
          </w:p>
          <w:p w14:paraId="124C9672" w14:textId="77777777" w:rsidR="005E70A6" w:rsidRDefault="005E70A6" w:rsidP="00D6458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E70A6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BF76DAD" wp14:editId="2444D82C">
                  <wp:extent cx="1121134" cy="1342897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68" cy="136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29815" w14:textId="77777777" w:rsidR="007330B9" w:rsidRDefault="007330B9" w:rsidP="00D6458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F7FBF3" w14:textId="7E22847F" w:rsidR="007330B9" w:rsidRDefault="00925B85" w:rsidP="007330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the game below to find 1/2/10 more than and 1/2/10 less than.</w:t>
            </w:r>
          </w:p>
          <w:p w14:paraId="37C523FE" w14:textId="363C8E92" w:rsidR="00925B85" w:rsidRPr="00925B85" w:rsidRDefault="00925B85" w:rsidP="007330B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25B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*Remember to flip the 100 </w:t>
            </w:r>
            <w:proofErr w:type="gramStart"/>
            <w:r w:rsidRPr="00925B85">
              <w:rPr>
                <w:rFonts w:ascii="Comic Sans MS" w:hAnsi="Comic Sans MS"/>
                <w:b/>
                <w:bCs/>
                <w:sz w:val="20"/>
                <w:szCs w:val="20"/>
              </w:rPr>
              <w:t>square</w:t>
            </w:r>
            <w:proofErr w:type="gramEnd"/>
            <w:r w:rsidRPr="00925B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so that that it starts with 1 at the bottom.</w:t>
            </w:r>
          </w:p>
          <w:p w14:paraId="7956B075" w14:textId="77777777" w:rsidR="00925B85" w:rsidRDefault="00925B85" w:rsidP="007330B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8837F00" w14:textId="476168CF" w:rsidR="007330B9" w:rsidRDefault="00925B85" w:rsidP="007330B9">
            <w:hyperlink r:id="rId12" w:history="1">
              <w:r w:rsidRPr="008F3C63">
                <w:rPr>
                  <w:rStyle w:val="Hyperlink"/>
                </w:rPr>
                <w:t>https://www.topmarks.co.uk/learning-to-count/paint-the-squares</w:t>
              </w:r>
            </w:hyperlink>
          </w:p>
          <w:p w14:paraId="4EFFFCC2" w14:textId="77777777" w:rsidR="00925B85" w:rsidRDefault="00925B85" w:rsidP="007330B9"/>
          <w:p w14:paraId="5A1B7656" w14:textId="7BFE121A" w:rsidR="007330B9" w:rsidRPr="00500FFB" w:rsidRDefault="00925B85" w:rsidP="00925B8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5B85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65322C6E" wp14:editId="63401BDD">
                  <wp:extent cx="738554" cy="729436"/>
                  <wp:effectExtent l="0" t="0" r="4445" b="0"/>
                  <wp:docPr id="930398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39854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223" cy="73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Pr="00925B85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3FA3DC1B" wp14:editId="21E27FB1">
                  <wp:extent cx="1230839" cy="808892"/>
                  <wp:effectExtent l="0" t="0" r="7620" b="0"/>
                  <wp:docPr id="617672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7216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03" cy="818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2711A6A2" w:rsidR="009E653D" w:rsidRDefault="008F6824" w:rsidP="0056114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41F4977C" w14:textId="77777777" w:rsidR="00925B85" w:rsidRDefault="00925B8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8DE5731" w14:textId="1428C101" w:rsidR="007B60DB" w:rsidRDefault="005E70A6" w:rsidP="00BC5D57">
            <w:pPr>
              <w:rPr>
                <w:rFonts w:ascii="Comic Sans MS" w:hAnsi="Comic Sans MS"/>
                <w:sz w:val="20"/>
                <w:szCs w:val="20"/>
              </w:rPr>
            </w:pPr>
            <w:r w:rsidRPr="005E70A6">
              <w:rPr>
                <w:rFonts w:ascii="Comic Sans MS" w:hAnsi="Comic Sans MS"/>
                <w:sz w:val="20"/>
                <w:szCs w:val="20"/>
              </w:rPr>
              <w:t xml:space="preserve">We are </w:t>
            </w:r>
            <w:r w:rsidR="004043C7">
              <w:rPr>
                <w:rFonts w:ascii="Comic Sans MS" w:hAnsi="Comic Sans MS"/>
                <w:sz w:val="20"/>
                <w:szCs w:val="20"/>
              </w:rPr>
              <w:t xml:space="preserve">consolidating Group 1 common words - </w:t>
            </w:r>
          </w:p>
          <w:p w14:paraId="47F6D704" w14:textId="0A75EC70" w:rsidR="005E70A6" w:rsidRDefault="005E70A6" w:rsidP="00BC5D57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  away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always  today  each  ask  year  eat  yellow  grow  again  food</w:t>
            </w:r>
          </w:p>
          <w:p w14:paraId="68FC4CFE" w14:textId="322290FA" w:rsidR="005E70A6" w:rsidRDefault="005E70A6" w:rsidP="00BC5D57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2F760E1" w14:textId="3D72F5C2" w:rsidR="005E70A6" w:rsidRDefault="005E70A6" w:rsidP="005E70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Get your child to practise writing them out in lowercase and UPPERCASE letters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today   TODAY</w:t>
            </w:r>
            <w:r w:rsidRPr="005E70A6">
              <w:rPr>
                <w:rFonts w:ascii="Comic Sans MS" w:hAnsi="Comic Sans MS"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745E1E3" w14:textId="77777777" w:rsidR="00925B85" w:rsidRPr="005E70A6" w:rsidRDefault="00925B85" w:rsidP="005E70A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E8C646B" w14:textId="77777777" w:rsidR="005E70A6" w:rsidRDefault="007330B9" w:rsidP="00BC5D5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There is a word wall in your child’s book bag to help them practise Group 1 common words.  When they can read and spell the words they can colour the brick in.</w:t>
            </w:r>
          </w:p>
          <w:p w14:paraId="616AFA5F" w14:textId="77777777" w:rsidR="007330B9" w:rsidRDefault="007330B9" w:rsidP="00BC5D5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7B20E42F" w:rsidR="007330B9" w:rsidRPr="005E70A6" w:rsidRDefault="007330B9" w:rsidP="007330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7DEEB1E" wp14:editId="4A419D8F">
                  <wp:extent cx="946298" cy="470173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ll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726" cy="48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77777777" w:rsidR="009E653D" w:rsidRPr="00DB2532" w:rsidRDefault="009E653D" w:rsidP="009E653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19CC3608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6F7C977B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66427">
    <w:abstractNumId w:val="0"/>
  </w:num>
  <w:num w:numId="2" w16cid:durableId="136382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177AC"/>
    <w:rsid w:val="0012544A"/>
    <w:rsid w:val="0013406C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22BFE"/>
    <w:rsid w:val="00235620"/>
    <w:rsid w:val="00245F74"/>
    <w:rsid w:val="00275508"/>
    <w:rsid w:val="00277AAA"/>
    <w:rsid w:val="0029237F"/>
    <w:rsid w:val="002928E6"/>
    <w:rsid w:val="002A7533"/>
    <w:rsid w:val="002B2FAB"/>
    <w:rsid w:val="002E63CB"/>
    <w:rsid w:val="002F1E55"/>
    <w:rsid w:val="00314A73"/>
    <w:rsid w:val="00345A4F"/>
    <w:rsid w:val="003546FA"/>
    <w:rsid w:val="003B35D6"/>
    <w:rsid w:val="003D1D12"/>
    <w:rsid w:val="004043C7"/>
    <w:rsid w:val="00406434"/>
    <w:rsid w:val="00430B02"/>
    <w:rsid w:val="00447E6A"/>
    <w:rsid w:val="004729F1"/>
    <w:rsid w:val="0049313D"/>
    <w:rsid w:val="004F2C1C"/>
    <w:rsid w:val="00500FFB"/>
    <w:rsid w:val="0052671D"/>
    <w:rsid w:val="00551B6B"/>
    <w:rsid w:val="00561149"/>
    <w:rsid w:val="00564E93"/>
    <w:rsid w:val="00567CC2"/>
    <w:rsid w:val="005900B6"/>
    <w:rsid w:val="005D0BF6"/>
    <w:rsid w:val="005E70A6"/>
    <w:rsid w:val="00631860"/>
    <w:rsid w:val="006406ED"/>
    <w:rsid w:val="006819B8"/>
    <w:rsid w:val="006B4670"/>
    <w:rsid w:val="006D156B"/>
    <w:rsid w:val="006D6686"/>
    <w:rsid w:val="006E0B24"/>
    <w:rsid w:val="006F2A91"/>
    <w:rsid w:val="007054FF"/>
    <w:rsid w:val="007330B9"/>
    <w:rsid w:val="007609D1"/>
    <w:rsid w:val="00767E2E"/>
    <w:rsid w:val="00782A41"/>
    <w:rsid w:val="007840FD"/>
    <w:rsid w:val="007A7049"/>
    <w:rsid w:val="007B0348"/>
    <w:rsid w:val="007B60DB"/>
    <w:rsid w:val="007F5DEF"/>
    <w:rsid w:val="0083289B"/>
    <w:rsid w:val="008519CE"/>
    <w:rsid w:val="008630AF"/>
    <w:rsid w:val="008B61A0"/>
    <w:rsid w:val="008D35FC"/>
    <w:rsid w:val="008F6824"/>
    <w:rsid w:val="009015F8"/>
    <w:rsid w:val="00901998"/>
    <w:rsid w:val="00925B85"/>
    <w:rsid w:val="0095311C"/>
    <w:rsid w:val="0095450C"/>
    <w:rsid w:val="00981516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93400"/>
    <w:rsid w:val="00A960FD"/>
    <w:rsid w:val="00B044EE"/>
    <w:rsid w:val="00B06224"/>
    <w:rsid w:val="00B445FD"/>
    <w:rsid w:val="00B82687"/>
    <w:rsid w:val="00B92914"/>
    <w:rsid w:val="00BA139E"/>
    <w:rsid w:val="00BC5D57"/>
    <w:rsid w:val="00C04B8D"/>
    <w:rsid w:val="00C22CD4"/>
    <w:rsid w:val="00C27BAE"/>
    <w:rsid w:val="00C32A69"/>
    <w:rsid w:val="00C3452F"/>
    <w:rsid w:val="00C34F04"/>
    <w:rsid w:val="00C427E8"/>
    <w:rsid w:val="00C46C14"/>
    <w:rsid w:val="00C854CD"/>
    <w:rsid w:val="00C86B3E"/>
    <w:rsid w:val="00C936DC"/>
    <w:rsid w:val="00CA5A1B"/>
    <w:rsid w:val="00CE7D6B"/>
    <w:rsid w:val="00CF7C60"/>
    <w:rsid w:val="00D64584"/>
    <w:rsid w:val="00DA12D9"/>
    <w:rsid w:val="00DB2532"/>
    <w:rsid w:val="00E2049C"/>
    <w:rsid w:val="00E42D81"/>
    <w:rsid w:val="00E46B7A"/>
    <w:rsid w:val="00EC5BC8"/>
    <w:rsid w:val="00ED7BC6"/>
    <w:rsid w:val="00EE5780"/>
    <w:rsid w:val="00EF5AC9"/>
    <w:rsid w:val="00F272E6"/>
    <w:rsid w:val="00F36E08"/>
    <w:rsid w:val="00F40172"/>
    <w:rsid w:val="00F50131"/>
    <w:rsid w:val="00F63ED0"/>
    <w:rsid w:val="00F84D3C"/>
    <w:rsid w:val="00FA3095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925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learning-to-count/paint-the-squares" TargetMode="Externa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jfif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C8B8B-7984-412E-B070-D2E62A05D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4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5</cp:revision>
  <dcterms:created xsi:type="dcterms:W3CDTF">2025-09-25T09:08:00Z</dcterms:created>
  <dcterms:modified xsi:type="dcterms:W3CDTF">2025-09-25T09:18:00Z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