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354D6DB9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05FB6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3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527A8376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085616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9th </w:t>
      </w:r>
      <w:r w:rsidR="007B3E86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October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2023</w:t>
      </w:r>
    </w:p>
    <w:p w14:paraId="00531EA1" w14:textId="77AFAD14" w:rsidR="000513DC" w:rsidRPr="00C52759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p w14:paraId="253CF663" w14:textId="2DD356BA" w:rsidR="00EE5780" w:rsidRPr="00C52759" w:rsidRDefault="009A28B9" w:rsidP="00F84D3C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 w:rsidR="00C52759">
        <w:rPr>
          <w:rFonts w:ascii="Twinkl SemiBold" w:hAnsi="Twinkl SemiBold"/>
          <w:color w:val="FF0000"/>
          <w:sz w:val="24"/>
          <w:szCs w:val="24"/>
        </w:rPr>
        <w:t xml:space="preserve">book bags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They will be collected in on a Friday as there will not </w:t>
      </w:r>
      <w:r w:rsidR="00C52759">
        <w:rPr>
          <w:rFonts w:ascii="Twinkl SemiBold" w:hAnsi="Twinkl SemiBold"/>
          <w:color w:val="FF0000"/>
          <w:sz w:val="24"/>
          <w:szCs w:val="24"/>
        </w:rPr>
        <w:t>be any homework at the weekend.</w:t>
      </w:r>
      <w:r w:rsidR="00FB4F89">
        <w:rPr>
          <w:rFonts w:ascii="Twinkl SemiBold" w:hAnsi="Twinkl SemiBold"/>
          <w:color w:val="FF0000"/>
          <w:sz w:val="24"/>
          <w:szCs w:val="24"/>
        </w:rPr>
        <w:t xml:space="preserve"> If you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 feel you want to continue some of the homework over the weekend</w:t>
      </w:r>
      <w:r w:rsidR="000513DC" w:rsidRPr="00C52759">
        <w:rPr>
          <w:rFonts w:ascii="Twinkl SemiBold" w:hAnsi="Twinkl SemiBold"/>
          <w:color w:val="FF0000"/>
          <w:sz w:val="24"/>
          <w:szCs w:val="24"/>
        </w:rPr>
        <w:t xml:space="preserve"> please ask for your child’s book bag.</w:t>
      </w:r>
    </w:p>
    <w:tbl>
      <w:tblPr>
        <w:tblStyle w:val="TableGridLight1"/>
        <w:tblpPr w:leftFromText="180" w:rightFromText="180" w:vertAnchor="text" w:horzAnchor="margin" w:tblpX="-856" w:tblpY="366"/>
        <w:tblW w:w="10627" w:type="dxa"/>
        <w:tblLayout w:type="fixed"/>
        <w:tblLook w:val="0520" w:firstRow="1" w:lastRow="0" w:firstColumn="0" w:lastColumn="1" w:noHBand="0" w:noVBand="1"/>
      </w:tblPr>
      <w:tblGrid>
        <w:gridCol w:w="566"/>
        <w:gridCol w:w="5241"/>
        <w:gridCol w:w="4820"/>
      </w:tblGrid>
      <w:tr w:rsidR="00115653" w:rsidRPr="00447E6A" w14:paraId="5207E105" w14:textId="77777777" w:rsidTr="00105FB6">
        <w:trPr>
          <w:trHeight w:val="492"/>
        </w:trPr>
        <w:tc>
          <w:tcPr>
            <w:tcW w:w="566" w:type="dxa"/>
            <w:shd w:val="clear" w:color="auto" w:fill="C9C9C9" w:themeFill="accent3" w:themeFillTint="99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FF5050"/>
            <w:vAlign w:val="center"/>
          </w:tcPr>
          <w:p w14:paraId="53D8741E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20" w:type="dxa"/>
            <w:shd w:val="clear" w:color="auto" w:fill="9CC2E5" w:themeFill="accent5" w:themeFillTint="99"/>
            <w:vAlign w:val="center"/>
          </w:tcPr>
          <w:p w14:paraId="31EB8056" w14:textId="77777777" w:rsidR="00115653" w:rsidRPr="00C52759" w:rsidRDefault="00115653" w:rsidP="00105FB6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2C6BC9" w:rsidRPr="00447E6A" w14:paraId="02AC42C0" w14:textId="77777777" w:rsidTr="00105FB6">
        <w:trPr>
          <w:cantSplit/>
          <w:trHeight w:val="1638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13505D07" w14:textId="2032CAD6" w:rsidR="002C6BC9" w:rsidRDefault="002C6BC9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1A01AED7" w14:textId="7CAA1D18" w:rsidR="002C6BC9" w:rsidRPr="00C52759" w:rsidRDefault="002C6BC9" w:rsidP="00115653">
            <w:pPr>
              <w:jc w:val="center"/>
              <w:textAlignment w:val="baseline"/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5BAB4555" w14:textId="77777777" w:rsidR="002C6BC9" w:rsidRDefault="002C6BC9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 w:rsidRPr="00C52759">
              <w:rPr>
                <w:rFonts w:ascii="Twinkl SemiBold" w:eastAsia="Times New Roman" w:hAnsi="Twinkl SemiBold" w:cs="Times New Roman"/>
                <w:sz w:val="24"/>
                <w:lang w:eastAsia="en-GB"/>
              </w:rPr>
              <w:t xml:space="preserve">Please complete 2 active and 2 written spelling activities for your words. </w:t>
            </w:r>
          </w:p>
          <w:p w14:paraId="4B384BEF" w14:textId="489207D5" w:rsidR="002C6BC9" w:rsidRPr="00C52759" w:rsidRDefault="002C6BC9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  <w:r>
              <w:rPr>
                <w:rFonts w:ascii="Twinkl SemiBold" w:eastAsia="Times New Roman" w:hAnsi="Twinkl SemiBold" w:cs="Times New Roman"/>
                <w:sz w:val="24"/>
                <w:lang w:eastAsia="en-GB"/>
              </w:rPr>
              <w:t>Activities list on blog.</w:t>
            </w:r>
          </w:p>
          <w:p w14:paraId="47519F90" w14:textId="77777777" w:rsidR="002C6BC9" w:rsidRPr="00C52759" w:rsidRDefault="002C6BC9" w:rsidP="00115653">
            <w:pPr>
              <w:rPr>
                <w:rFonts w:ascii="Twinkl SemiBold" w:eastAsia="Times New Roman" w:hAnsi="Twinkl SemiBold" w:cs="Times New Roman"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2C6BC9" w:rsidRPr="00C52759" w14:paraId="14CEA698" w14:textId="77777777" w:rsidTr="00105FB6">
              <w:tc>
                <w:tcPr>
                  <w:tcW w:w="5015" w:type="dxa"/>
                </w:tcPr>
                <w:p w14:paraId="27365D67" w14:textId="77777777" w:rsidR="002C6BC9" w:rsidRPr="00C52759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Woody, 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Lightyear</w:t>
                  </w:r>
                  <w:proofErr w:type="spellEnd"/>
                  <w:r w:rsidRPr="00C52759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 xml:space="preserve"> and Little Aliens</w:t>
                  </w:r>
                </w:p>
                <w:p w14:paraId="1F0F8A34" w14:textId="6D5E6A45" w:rsidR="002C6BC9" w:rsidRPr="00085616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tell         large           spell          </w:t>
                  </w:r>
                  <w:r w:rsidRPr="00085616">
                    <w:rPr>
                      <w:rFonts w:ascii="Twinkl SemiBold" w:hAnsi="Twinkl SemiBold"/>
                      <w:sz w:val="24"/>
                    </w:rPr>
                    <w:t>still</w:t>
                  </w:r>
                </w:p>
                <w:p w14:paraId="2553097E" w14:textId="4A6CA0EA" w:rsidR="002C6BC9" w:rsidRPr="00085616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saw        tried           cried          </w:t>
                  </w:r>
                  <w:r w:rsidRPr="00085616">
                    <w:rPr>
                      <w:rFonts w:ascii="Twinkl SemiBold" w:hAnsi="Twinkl SemiBold"/>
                      <w:sz w:val="24"/>
                    </w:rPr>
                    <w:t>fried</w:t>
                  </w:r>
                </w:p>
                <w:p w14:paraId="7C52F003" w14:textId="3683AB3B" w:rsidR="002C6BC9" w:rsidRPr="00CC2718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dried      supplied      replied       </w:t>
                  </w:r>
                  <w:r w:rsidRPr="00085616">
                    <w:rPr>
                      <w:rFonts w:ascii="Twinkl SemiBold" w:hAnsi="Twinkl SemiBold"/>
                      <w:sz w:val="24"/>
                    </w:rPr>
                    <w:t>denied</w:t>
                  </w:r>
                </w:p>
              </w:tc>
            </w:tr>
            <w:tr w:rsidR="002C6BC9" w:rsidRPr="00C52759" w14:paraId="7AB334D1" w14:textId="77777777" w:rsidTr="00105FB6">
              <w:tc>
                <w:tcPr>
                  <w:tcW w:w="5015" w:type="dxa"/>
                </w:tcPr>
                <w:p w14:paraId="220B6FD7" w14:textId="77777777" w:rsidR="002C6BC9" w:rsidRPr="00934ACF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sz w:val="24"/>
                      <w:u w:val="single"/>
                    </w:rPr>
                  </w:pPr>
                  <w:r w:rsidRPr="00934ACF">
                    <w:rPr>
                      <w:rFonts w:ascii="Twinkl SemiBold" w:hAnsi="Twinkl SemiBold"/>
                      <w:b/>
                      <w:sz w:val="24"/>
                      <w:u w:val="single"/>
                    </w:rPr>
                    <w:t>Rex</w:t>
                  </w:r>
                </w:p>
                <w:p w14:paraId="696C8F8C" w14:textId="7F29AC4B" w:rsidR="002C6BC9" w:rsidRPr="00085616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 xml:space="preserve">yellow       </w:t>
                  </w:r>
                  <w:r w:rsidRPr="00085616">
                    <w:rPr>
                      <w:rFonts w:ascii="Twinkl SemiBold" w:hAnsi="Twinkl SemiBold"/>
                      <w:sz w:val="24"/>
                    </w:rPr>
                    <w:t>grow</w:t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    again        foo</w:t>
                  </w:r>
                  <w:r w:rsidRPr="00085616">
                    <w:rPr>
                      <w:rFonts w:ascii="Twinkl SemiBold" w:hAnsi="Twinkl SemiBold"/>
                      <w:sz w:val="24"/>
                    </w:rPr>
                    <w:t>d</w:t>
                  </w:r>
                </w:p>
                <w:p w14:paraId="7F2FDA74" w14:textId="693D30DF" w:rsidR="002C6BC9" w:rsidRPr="00085616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low          throw       follow       sh</w:t>
                  </w:r>
                  <w:r w:rsidRPr="00085616">
                    <w:rPr>
                      <w:rFonts w:ascii="Twinkl SemiBold" w:hAnsi="Twinkl SemiBold"/>
                      <w:sz w:val="24"/>
                    </w:rPr>
                    <w:t>allow</w:t>
                  </w:r>
                </w:p>
                <w:p w14:paraId="56D9C04D" w14:textId="7929C2DC" w:rsidR="002C6BC9" w:rsidRPr="00934ACF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sz w:val="24"/>
                    </w:rPr>
                  </w:pPr>
                  <w:r w:rsidRPr="00085616">
                    <w:rPr>
                      <w:rFonts w:ascii="Twinkl SemiBold" w:hAnsi="Twinkl SemiBold"/>
                      <w:sz w:val="24"/>
                    </w:rPr>
                    <w:t>show</w:t>
                  </w:r>
                </w:p>
              </w:tc>
            </w:tr>
          </w:tbl>
          <w:p w14:paraId="183FCBC9" w14:textId="49C5E0E5" w:rsidR="002C6BC9" w:rsidRPr="00C52759" w:rsidRDefault="002C6BC9" w:rsidP="0011565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20" w:type="dxa"/>
            <w:vMerge w:val="restart"/>
          </w:tcPr>
          <w:p w14:paraId="39C08A8B" w14:textId="38609B52" w:rsidR="002C6BC9" w:rsidRDefault="002C6BC9" w:rsidP="00FB4BF5">
            <w:pPr>
              <w:rPr>
                <w:rFonts w:ascii="Twinkl SemiBold" w:hAnsi="Twinkl SemiBold"/>
                <w:sz w:val="24"/>
              </w:rPr>
            </w:pPr>
            <w:r>
              <w:rPr>
                <w:rFonts w:ascii="Twinkl SemiBold" w:hAnsi="Twinkl SemiBold"/>
                <w:sz w:val="24"/>
              </w:rPr>
              <w:t>Click on the Learning Intention to play the games.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4"/>
            </w:tblGrid>
            <w:tr w:rsidR="002C6BC9" w14:paraId="0814C13B" w14:textId="77777777" w:rsidTr="00EF53D3">
              <w:tc>
                <w:tcPr>
                  <w:tcW w:w="4594" w:type="dxa"/>
                  <w:vAlign w:val="center"/>
                </w:tcPr>
                <w:p w14:paraId="6FD85424" w14:textId="1581DDE8" w:rsidR="002C6BC9" w:rsidRDefault="00895B71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0" w:history="1">
                    <w:r w:rsidR="002C6BC9" w:rsidRPr="002C6BC9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identify odd and even numbers.</w:t>
                    </w:r>
                  </w:hyperlink>
                </w:p>
                <w:p w14:paraId="384294A3" w14:textId="77777777" w:rsidR="002C6BC9" w:rsidRDefault="002C6BC9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2C6BC9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18C62C06" wp14:editId="05938F97">
                        <wp:extent cx="2780030" cy="1322070"/>
                        <wp:effectExtent l="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0030" cy="1322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B85EAC" w14:textId="2BDF24E2" w:rsidR="002C6BC9" w:rsidRDefault="00895B71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2" w:history="1">
                    <w:r w:rsidR="002C6BC9" w:rsidRPr="0040777E">
                      <w:rPr>
                        <w:rStyle w:val="Hyperlink"/>
                        <w:rFonts w:ascii="Twinkl SemiBold" w:hAnsi="Twinkl SemiBold"/>
                        <w:sz w:val="18"/>
                      </w:rPr>
                      <w:t>https://www.topmarks.co.uk/learning-to-count/coconut-odd-or-even</w:t>
                    </w:r>
                  </w:hyperlink>
                  <w:r w:rsidR="002C6BC9">
                    <w:rPr>
                      <w:rFonts w:ascii="Twinkl SemiBold" w:hAnsi="Twinkl SemiBold"/>
                      <w:sz w:val="18"/>
                    </w:rPr>
                    <w:t xml:space="preserve"> </w:t>
                  </w:r>
                </w:p>
              </w:tc>
            </w:tr>
            <w:tr w:rsidR="002C6BC9" w14:paraId="7E9DF6FA" w14:textId="77777777" w:rsidTr="00EF53D3">
              <w:tc>
                <w:tcPr>
                  <w:tcW w:w="4594" w:type="dxa"/>
                  <w:vAlign w:val="center"/>
                </w:tcPr>
                <w:p w14:paraId="2FBE26CB" w14:textId="738823E6" w:rsidR="002C6BC9" w:rsidRDefault="00895B71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3" w:history="1">
                    <w:r w:rsidR="002C6BC9" w:rsidRPr="002C6BC9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round numbers.</w:t>
                    </w:r>
                  </w:hyperlink>
                </w:p>
                <w:p w14:paraId="48D626F7" w14:textId="77777777" w:rsidR="002C6BC9" w:rsidRDefault="002C6BC9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2963728A" w14:textId="5AA1A7AC" w:rsidR="002C6BC9" w:rsidRDefault="002C6BC9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>
                    <w:rPr>
                      <w:rFonts w:ascii="Twinkl SemiBold" w:hAnsi="Twinkl SemiBold"/>
                      <w:sz w:val="24"/>
                    </w:rPr>
                    <w:t>Choose your own rounding game.</w:t>
                  </w:r>
                </w:p>
                <w:p w14:paraId="06AA5871" w14:textId="77777777" w:rsidR="002C6BC9" w:rsidRDefault="002C6BC9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570BE6B1" w14:textId="18B512C0" w:rsidR="002C6BC9" w:rsidRDefault="00895B71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4" w:history="1">
                    <w:r w:rsidR="002C6BC9" w:rsidRPr="0040777E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https://www.mathnook.com/math/skill/roundinggames.php</w:t>
                    </w:r>
                  </w:hyperlink>
                  <w:r w:rsidR="002C6BC9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  <w:tr w:rsidR="002C6BC9" w14:paraId="32C4D54E" w14:textId="77777777" w:rsidTr="00EF53D3">
              <w:tc>
                <w:tcPr>
                  <w:tcW w:w="4594" w:type="dxa"/>
                  <w:vAlign w:val="center"/>
                </w:tcPr>
                <w:p w14:paraId="14CF65FC" w14:textId="02FA9EF9" w:rsidR="002C6BC9" w:rsidRDefault="00895B71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5" w:history="1">
                    <w:r w:rsidR="002C6BC9" w:rsidRPr="002C6BC9">
                      <w:rPr>
                        <w:rStyle w:val="Hyperlink"/>
                        <w:rFonts w:ascii="Twinkl SemiBold" w:hAnsi="Twinkl SemiBold"/>
                        <w:sz w:val="24"/>
                      </w:rPr>
                      <w:t>LI – To place numbers on a number line.</w:t>
                    </w:r>
                  </w:hyperlink>
                  <w:r w:rsidR="002C6BC9">
                    <w:rPr>
                      <w:rFonts w:ascii="Twinkl SemiBold" w:hAnsi="Twinkl SemiBold"/>
                      <w:sz w:val="24"/>
                    </w:rPr>
                    <w:t xml:space="preserve"> </w:t>
                  </w:r>
                </w:p>
                <w:p w14:paraId="3E02389B" w14:textId="378A247C" w:rsidR="002C6BC9" w:rsidRDefault="002C6BC9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2C6BC9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49A67147" wp14:editId="683C00FC">
                        <wp:extent cx="1205105" cy="87644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2736" cy="889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85095B" w14:textId="37AF9C78" w:rsidR="002C6BC9" w:rsidRDefault="00895B71" w:rsidP="00895B71">
                  <w:pPr>
                    <w:framePr w:hSpace="180" w:wrap="around" w:vAnchor="text" w:hAnchor="margin" w:x="-856" w:y="366"/>
                    <w:jc w:val="center"/>
                    <w:rPr>
                      <w:rFonts w:ascii="Twinkl SemiBold" w:hAnsi="Twinkl SemiBold"/>
                      <w:sz w:val="24"/>
                    </w:rPr>
                  </w:pPr>
                  <w:hyperlink r:id="rId17" w:history="1">
                    <w:r w:rsidR="002C6BC9" w:rsidRPr="0040777E">
                      <w:rPr>
                        <w:rStyle w:val="Hyperlink"/>
                        <w:rFonts w:ascii="Twinkl SemiBold" w:hAnsi="Twinkl SemiBold"/>
                        <w:sz w:val="20"/>
                      </w:rPr>
                      <w:t>https://mathsframe.co.uk/en/resources/resource/37/placing-numbers-on-a-number-line</w:t>
                    </w:r>
                  </w:hyperlink>
                  <w:r w:rsidR="002C6BC9">
                    <w:rPr>
                      <w:rFonts w:ascii="Twinkl SemiBold" w:hAnsi="Twinkl SemiBold"/>
                      <w:sz w:val="20"/>
                    </w:rPr>
                    <w:t xml:space="preserve"> </w:t>
                  </w:r>
                </w:p>
              </w:tc>
            </w:tr>
          </w:tbl>
          <w:p w14:paraId="30297531" w14:textId="463D634B" w:rsidR="002C6BC9" w:rsidRPr="00C52759" w:rsidRDefault="002C6BC9" w:rsidP="00FB4BF5">
            <w:pPr>
              <w:rPr>
                <w:rFonts w:ascii="Twinkl SemiBold" w:hAnsi="Twinkl SemiBold"/>
                <w:sz w:val="24"/>
              </w:rPr>
            </w:pPr>
          </w:p>
        </w:tc>
      </w:tr>
      <w:tr w:rsidR="002C6BC9" w:rsidRPr="00447E6A" w14:paraId="2174704B" w14:textId="77777777" w:rsidTr="00105FB6">
        <w:trPr>
          <w:cantSplit/>
          <w:trHeight w:val="2889"/>
        </w:trPr>
        <w:tc>
          <w:tcPr>
            <w:tcW w:w="566" w:type="dxa"/>
            <w:shd w:val="clear" w:color="auto" w:fill="C9C9C9" w:themeFill="accent3" w:themeFillTint="99"/>
            <w:textDirection w:val="btLr"/>
          </w:tcPr>
          <w:p w14:paraId="25898429" w14:textId="7B4D799E" w:rsidR="002C6BC9" w:rsidRDefault="002C6BC9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</w:tcPr>
          <w:p w14:paraId="6D962808" w14:textId="298FDB51" w:rsidR="002C6BC9" w:rsidRDefault="002C6BC9" w:rsidP="00105FB6">
            <w:pPr>
              <w:jc w:val="center"/>
              <w:rPr>
                <w:rFonts w:ascii="Twinkl SemiBold" w:hAnsi="Twinkl SemiBold"/>
                <w:b/>
                <w:color w:val="000000"/>
                <w:sz w:val="24"/>
                <w:u w:val="single"/>
              </w:rPr>
            </w:pPr>
            <w:r w:rsidRPr="00C52759">
              <w:rPr>
                <w:rFonts w:ascii="Twinkl SemiBold" w:hAnsi="Twinkl SemiBold"/>
                <w:b/>
                <w:color w:val="000000"/>
                <w:sz w:val="24"/>
                <w:u w:val="single"/>
              </w:rPr>
              <w:t>Reading</w:t>
            </w:r>
          </w:p>
          <w:p w14:paraId="0EDD806E" w14:textId="25435FA8" w:rsidR="002C6BC9" w:rsidRDefault="002C6BC9" w:rsidP="00C52759">
            <w:pPr>
              <w:rPr>
                <w:rFonts w:ascii="Twinkl SemiBold" w:hAnsi="Twinkl SemiBold"/>
                <w:color w:val="000000"/>
                <w:sz w:val="24"/>
              </w:rPr>
            </w:pPr>
            <w:r>
              <w:rPr>
                <w:rFonts w:ascii="Twinkl SemiBold" w:hAnsi="Twinkl SemiBold"/>
                <w:color w:val="000000"/>
                <w:sz w:val="24"/>
              </w:rPr>
              <w:t>LI – We are learning to be fluent readers.</w:t>
            </w:r>
          </w:p>
          <w:p w14:paraId="24B96B60" w14:textId="77777777" w:rsidR="002C6BC9" w:rsidRDefault="002C6BC9" w:rsidP="00C52759">
            <w:pPr>
              <w:rPr>
                <w:rFonts w:ascii="Twinkl SemiBold" w:hAnsi="Twinkl SemiBold"/>
                <w:color w:val="00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5"/>
            </w:tblGrid>
            <w:tr w:rsidR="002C6BC9" w14:paraId="183C8FC3" w14:textId="77777777" w:rsidTr="00C52759">
              <w:tc>
                <w:tcPr>
                  <w:tcW w:w="5015" w:type="dxa"/>
                </w:tcPr>
                <w:p w14:paraId="649A2CC6" w14:textId="77777777" w:rsidR="002C6BC9" w:rsidRPr="00C52759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Woody</w:t>
                  </w:r>
                </w:p>
                <w:p w14:paraId="01E3B8FE" w14:textId="2708237C" w:rsidR="002C6BC9" w:rsidRDefault="00895B71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Extreme Living</w:t>
                  </w:r>
                  <w:bookmarkStart w:id="0" w:name="_GoBack"/>
                  <w:bookmarkEnd w:id="0"/>
                </w:p>
              </w:tc>
            </w:tr>
            <w:tr w:rsidR="002C6BC9" w14:paraId="24A57F1F" w14:textId="77777777" w:rsidTr="00C52759">
              <w:tc>
                <w:tcPr>
                  <w:tcW w:w="5015" w:type="dxa"/>
                </w:tcPr>
                <w:p w14:paraId="1248C470" w14:textId="77777777" w:rsidR="002C6BC9" w:rsidRPr="00C52759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 xml:space="preserve">Buzz </w:t>
                  </w:r>
                  <w:proofErr w:type="spellStart"/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Lightyear</w:t>
                  </w:r>
                  <w:proofErr w:type="spellEnd"/>
                </w:p>
                <w:p w14:paraId="6663FB1D" w14:textId="51F852FA" w:rsidR="002C6BC9" w:rsidRDefault="00895B71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Slow and Sticky</w:t>
                  </w:r>
                </w:p>
              </w:tc>
            </w:tr>
            <w:tr w:rsidR="002C6BC9" w14:paraId="3E6417D8" w14:textId="77777777" w:rsidTr="00C52759">
              <w:tc>
                <w:tcPr>
                  <w:tcW w:w="5015" w:type="dxa"/>
                </w:tcPr>
                <w:p w14:paraId="592C1F90" w14:textId="77777777" w:rsidR="002C6BC9" w:rsidRPr="00C52759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Little Aliens</w:t>
                  </w:r>
                </w:p>
                <w:p w14:paraId="7C0A9E33" w14:textId="010FA824" w:rsidR="002C6BC9" w:rsidRDefault="00895B71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Let’s Eat Lunch</w:t>
                  </w:r>
                </w:p>
              </w:tc>
            </w:tr>
            <w:tr w:rsidR="002C6BC9" w14:paraId="38FA2B4E" w14:textId="77777777" w:rsidTr="00C52759">
              <w:tc>
                <w:tcPr>
                  <w:tcW w:w="5015" w:type="dxa"/>
                </w:tcPr>
                <w:p w14:paraId="72897879" w14:textId="77777777" w:rsidR="002C6BC9" w:rsidRPr="00C52759" w:rsidRDefault="002C6BC9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</w:pPr>
                  <w:r w:rsidRPr="00C52759">
                    <w:rPr>
                      <w:rFonts w:ascii="Twinkl SemiBold" w:hAnsi="Twinkl SemiBold"/>
                      <w:b/>
                      <w:color w:val="000000"/>
                      <w:sz w:val="24"/>
                      <w:u w:val="single"/>
                    </w:rPr>
                    <w:t>Rex</w:t>
                  </w:r>
                </w:p>
                <w:p w14:paraId="20F38320" w14:textId="2DD07814" w:rsidR="002C6BC9" w:rsidRDefault="00895B71" w:rsidP="00895B71">
                  <w:pPr>
                    <w:framePr w:hSpace="180" w:wrap="around" w:vAnchor="text" w:hAnchor="margin" w:x="-856" w:y="366"/>
                    <w:rPr>
                      <w:rFonts w:ascii="Twinkl SemiBold" w:hAnsi="Twinkl SemiBold"/>
                      <w:color w:val="000000"/>
                      <w:sz w:val="24"/>
                    </w:rPr>
                  </w:pPr>
                  <w:r>
                    <w:rPr>
                      <w:rFonts w:ascii="Twinkl SemiBold" w:hAnsi="Twinkl SemiBold"/>
                      <w:color w:val="000000"/>
                      <w:sz w:val="24"/>
                    </w:rPr>
                    <w:t>Ting-a-ling</w:t>
                  </w:r>
                </w:p>
              </w:tc>
            </w:tr>
          </w:tbl>
          <w:p w14:paraId="3434521A" w14:textId="5A424226" w:rsidR="002C6BC9" w:rsidRPr="00C52759" w:rsidRDefault="002C6BC9" w:rsidP="00EF53D3">
            <w:pPr>
              <w:rPr>
                <w:rFonts w:ascii="Twinkl SemiBold" w:hAnsi="Twinkl SemiBold"/>
                <w:sz w:val="24"/>
              </w:rPr>
            </w:pPr>
          </w:p>
        </w:tc>
        <w:tc>
          <w:tcPr>
            <w:tcW w:w="4820" w:type="dxa"/>
            <w:vMerge/>
          </w:tcPr>
          <w:p w14:paraId="5AF66451" w14:textId="67DD4351" w:rsidR="002C6BC9" w:rsidRPr="00E22273" w:rsidRDefault="002C6BC9" w:rsidP="002C6BC9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6AC4FCF7" w14:textId="112C3C98" w:rsidR="008D35FC" w:rsidRPr="00F84D3C" w:rsidRDefault="00EE5780" w:rsidP="00372677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04DEFAE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1461"/>
    <w:rsid w:val="000344FD"/>
    <w:rsid w:val="000513DC"/>
    <w:rsid w:val="00051935"/>
    <w:rsid w:val="000541CB"/>
    <w:rsid w:val="00057F4B"/>
    <w:rsid w:val="00071372"/>
    <w:rsid w:val="00075EF8"/>
    <w:rsid w:val="000850E0"/>
    <w:rsid w:val="00085616"/>
    <w:rsid w:val="000966E3"/>
    <w:rsid w:val="000A11CB"/>
    <w:rsid w:val="000D755A"/>
    <w:rsid w:val="00105FB6"/>
    <w:rsid w:val="00107AE1"/>
    <w:rsid w:val="00115653"/>
    <w:rsid w:val="0012544A"/>
    <w:rsid w:val="0013406C"/>
    <w:rsid w:val="001723DB"/>
    <w:rsid w:val="001768E2"/>
    <w:rsid w:val="001B7080"/>
    <w:rsid w:val="001F7439"/>
    <w:rsid w:val="0020342C"/>
    <w:rsid w:val="002038D0"/>
    <w:rsid w:val="00222BFE"/>
    <w:rsid w:val="00235620"/>
    <w:rsid w:val="00277AAA"/>
    <w:rsid w:val="0028365D"/>
    <w:rsid w:val="0029237F"/>
    <w:rsid w:val="002928E6"/>
    <w:rsid w:val="002A7533"/>
    <w:rsid w:val="002B2FAB"/>
    <w:rsid w:val="002C6BC9"/>
    <w:rsid w:val="002F1E55"/>
    <w:rsid w:val="00307419"/>
    <w:rsid w:val="00345A4F"/>
    <w:rsid w:val="003546FA"/>
    <w:rsid w:val="00372677"/>
    <w:rsid w:val="003C7C30"/>
    <w:rsid w:val="00406434"/>
    <w:rsid w:val="00430B02"/>
    <w:rsid w:val="00447E6A"/>
    <w:rsid w:val="004729F1"/>
    <w:rsid w:val="0049313D"/>
    <w:rsid w:val="004C52B1"/>
    <w:rsid w:val="004F2C1C"/>
    <w:rsid w:val="00564E93"/>
    <w:rsid w:val="00567CC2"/>
    <w:rsid w:val="005900B6"/>
    <w:rsid w:val="00631860"/>
    <w:rsid w:val="006406ED"/>
    <w:rsid w:val="00645387"/>
    <w:rsid w:val="00675A2C"/>
    <w:rsid w:val="006819B8"/>
    <w:rsid w:val="006B4670"/>
    <w:rsid w:val="006D6686"/>
    <w:rsid w:val="006E0B24"/>
    <w:rsid w:val="006F2A91"/>
    <w:rsid w:val="007054FF"/>
    <w:rsid w:val="00710E18"/>
    <w:rsid w:val="007609D1"/>
    <w:rsid w:val="00782A41"/>
    <w:rsid w:val="007840FD"/>
    <w:rsid w:val="007A7049"/>
    <w:rsid w:val="007B0348"/>
    <w:rsid w:val="007B3E86"/>
    <w:rsid w:val="007F5DEF"/>
    <w:rsid w:val="00837316"/>
    <w:rsid w:val="008630AF"/>
    <w:rsid w:val="00874697"/>
    <w:rsid w:val="00895B71"/>
    <w:rsid w:val="008B61A0"/>
    <w:rsid w:val="008D35FC"/>
    <w:rsid w:val="008E4E7F"/>
    <w:rsid w:val="00901998"/>
    <w:rsid w:val="00934ACF"/>
    <w:rsid w:val="0095311C"/>
    <w:rsid w:val="0095450C"/>
    <w:rsid w:val="00992FBD"/>
    <w:rsid w:val="009A28B9"/>
    <w:rsid w:val="009C347D"/>
    <w:rsid w:val="009E44C9"/>
    <w:rsid w:val="009E798A"/>
    <w:rsid w:val="009F77EF"/>
    <w:rsid w:val="00A01ED4"/>
    <w:rsid w:val="00A14193"/>
    <w:rsid w:val="00A533EC"/>
    <w:rsid w:val="00A55692"/>
    <w:rsid w:val="00A93400"/>
    <w:rsid w:val="00A960FD"/>
    <w:rsid w:val="00B044EE"/>
    <w:rsid w:val="00B06224"/>
    <w:rsid w:val="00B445FD"/>
    <w:rsid w:val="00B50894"/>
    <w:rsid w:val="00B84A57"/>
    <w:rsid w:val="00B92914"/>
    <w:rsid w:val="00BF306A"/>
    <w:rsid w:val="00C04B8D"/>
    <w:rsid w:val="00C22CD4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87D96"/>
    <w:rsid w:val="00C936DC"/>
    <w:rsid w:val="00CC2718"/>
    <w:rsid w:val="00CE7D6B"/>
    <w:rsid w:val="00CF7C60"/>
    <w:rsid w:val="00DA12D9"/>
    <w:rsid w:val="00DB2532"/>
    <w:rsid w:val="00DF6D13"/>
    <w:rsid w:val="00E22273"/>
    <w:rsid w:val="00E42D81"/>
    <w:rsid w:val="00E46B7A"/>
    <w:rsid w:val="00E65E41"/>
    <w:rsid w:val="00EC5BC8"/>
    <w:rsid w:val="00ED7BC6"/>
    <w:rsid w:val="00EE5780"/>
    <w:rsid w:val="00EF53D3"/>
    <w:rsid w:val="00EF5AC9"/>
    <w:rsid w:val="00F36E08"/>
    <w:rsid w:val="00F40172"/>
    <w:rsid w:val="00F50131"/>
    <w:rsid w:val="00F63ED0"/>
    <w:rsid w:val="00F84D3C"/>
    <w:rsid w:val="00FA3095"/>
    <w:rsid w:val="00FB4BF5"/>
    <w:rsid w:val="00FB4F89"/>
    <w:rsid w:val="00FC4555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nook.com/math/skill/roundinggames.php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learning-to-count/coconut-odd-or-even" TargetMode="External"/><Relationship Id="rId17" Type="http://schemas.openxmlformats.org/officeDocument/2006/relationships/hyperlink" Target="https://mathsframe.co.uk/en/resources/resource/37/placing-numbers-on-a-number-lin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mathsframe.co.uk/en/resources/resource/37/placing-numbers-on-a-number-line" TargetMode="External"/><Relationship Id="rId10" Type="http://schemas.openxmlformats.org/officeDocument/2006/relationships/hyperlink" Target="https://www.topmarks.co.uk/learning-to-count/coconut-odd-or-even" TargetMode="External"/><Relationship Id="rId19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mathnook.com/math/skill/roundinggames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71DBF-89A2-4E71-92C1-24A7453D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40</cp:revision>
  <dcterms:created xsi:type="dcterms:W3CDTF">2023-08-31T16:38:00Z</dcterms:created>
  <dcterms:modified xsi:type="dcterms:W3CDTF">2023-10-09T12:11:00Z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