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6B9DE254" w:rsidR="00447E6A" w:rsidRPr="00C52759" w:rsidRDefault="00447E6A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7B3E86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2nd</w:t>
      </w:r>
      <w:r w:rsidR="00F84D3C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7B3E86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October</w:t>
      </w:r>
      <w:r w:rsidR="00406434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2023</w:t>
      </w:r>
    </w:p>
    <w:p w14:paraId="00531EA1" w14:textId="77AFAD14" w:rsidR="000513DC" w:rsidRPr="00C52759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53CF663" w14:textId="2DD356BA" w:rsidR="00EE5780" w:rsidRPr="00C52759" w:rsidRDefault="009A28B9" w:rsidP="00F84D3C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 w:rsidR="00C52759"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 w:rsidR="00C52759">
        <w:rPr>
          <w:rFonts w:ascii="Twinkl SemiBold" w:hAnsi="Twinkl SemiBold"/>
          <w:color w:val="FF0000"/>
          <w:sz w:val="24"/>
          <w:szCs w:val="24"/>
        </w:rPr>
        <w:t>be any homework at the weekend.</w:t>
      </w:r>
      <w:r w:rsidR="00FB4F89">
        <w:rPr>
          <w:rFonts w:ascii="Twinkl SemiBold" w:hAnsi="Twinkl SemiBold"/>
          <w:color w:val="FF0000"/>
          <w:sz w:val="24"/>
          <w:szCs w:val="24"/>
        </w:rPr>
        <w:t xml:space="preserve"> If you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 feel you want to continue some of the homework over the weekend</w:t>
      </w:r>
      <w:r w:rsidR="000513DC" w:rsidRPr="00C52759">
        <w:rPr>
          <w:rFonts w:ascii="Twinkl SemiBold" w:hAnsi="Twinkl SemiBold"/>
          <w:color w:val="FF0000"/>
          <w:sz w:val="24"/>
          <w:szCs w:val="24"/>
        </w:rPr>
        <w:t xml:space="preserve"> please ask for your child’s book bag.</w:t>
      </w:r>
    </w:p>
    <w:tbl>
      <w:tblPr>
        <w:tblStyle w:val="TableGridLight1"/>
        <w:tblpPr w:leftFromText="180" w:rightFromText="180" w:vertAnchor="text" w:horzAnchor="margin" w:tblpX="-856" w:tblpY="366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115653" w:rsidRPr="00447E6A" w14:paraId="5207E105" w14:textId="77777777" w:rsidTr="00105FB6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53D8741E" w14:textId="77777777" w:rsidR="00115653" w:rsidRPr="00C52759" w:rsidRDefault="00115653" w:rsidP="00105FB6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31EB8056" w14:textId="77777777" w:rsidR="00115653" w:rsidRPr="00C52759" w:rsidRDefault="00115653" w:rsidP="00105FB6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115653" w:rsidRPr="00447E6A" w14:paraId="02AC42C0" w14:textId="77777777" w:rsidTr="00105FB6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3505D07" w14:textId="2032CAD6" w:rsidR="00115653" w:rsidRDefault="00115653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1A01AED7" w14:textId="7CAA1D18" w:rsidR="00115653" w:rsidRPr="00C52759" w:rsidRDefault="00105FB6" w:rsidP="0011565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5BAB4555" w14:textId="77777777" w:rsidR="00C52759" w:rsidRDefault="00105FB6" w:rsidP="0011565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4B384BEF" w14:textId="489207D5" w:rsidR="00115653" w:rsidRPr="00C52759" w:rsidRDefault="00C52759" w:rsidP="0011565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47519F90" w14:textId="77777777" w:rsidR="00105FB6" w:rsidRPr="00C52759" w:rsidRDefault="00105FB6" w:rsidP="0011565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105FB6" w:rsidRPr="00C52759" w14:paraId="14CEA698" w14:textId="77777777" w:rsidTr="00105FB6">
              <w:tc>
                <w:tcPr>
                  <w:tcW w:w="5015" w:type="dxa"/>
                </w:tcPr>
                <w:p w14:paraId="27365D67" w14:textId="77777777" w:rsidR="00105FB6" w:rsidRPr="00C52759" w:rsidRDefault="00105FB6" w:rsidP="001703E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 xml:space="preserve">Woody, Buzz </w:t>
                  </w:r>
                  <w:proofErr w:type="spellStart"/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>Lightyear</w:t>
                  </w:r>
                  <w:proofErr w:type="spellEnd"/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 xml:space="preserve"> and Little Aliens</w:t>
                  </w:r>
                </w:p>
                <w:p w14:paraId="3633B023" w14:textId="13FF836C" w:rsidR="002873B3" w:rsidRPr="002873B3" w:rsidRDefault="002873B3" w:rsidP="001703E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 xml:space="preserve">spring      funny       those       </w:t>
                  </w:r>
                  <w:r w:rsidRPr="002873B3">
                    <w:rPr>
                      <w:rFonts w:ascii="Twinkl SemiBold" w:hAnsi="Twinkl SemiBold"/>
                      <w:sz w:val="24"/>
                    </w:rPr>
                    <w:t>home</w:t>
                  </w:r>
                </w:p>
                <w:p w14:paraId="1FEFB937" w14:textId="2638990E" w:rsidR="002873B3" w:rsidRPr="002873B3" w:rsidRDefault="002873B3" w:rsidP="001703E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 xml:space="preserve">then        this          them        </w:t>
                  </w:r>
                  <w:r w:rsidRPr="002873B3">
                    <w:rPr>
                      <w:rFonts w:ascii="Twinkl SemiBold" w:hAnsi="Twinkl SemiBold"/>
                      <w:sz w:val="24"/>
                    </w:rPr>
                    <w:t>there</w:t>
                  </w:r>
                </w:p>
                <w:p w14:paraId="7C52F003" w14:textId="2F24C028" w:rsidR="00105FB6" w:rsidRPr="00CC2718" w:rsidRDefault="002873B3" w:rsidP="001703E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 xml:space="preserve">that        rather      gather      </w:t>
                  </w:r>
                  <w:r w:rsidRPr="002873B3">
                    <w:rPr>
                      <w:rFonts w:ascii="Twinkl SemiBold" w:hAnsi="Twinkl SemiBold"/>
                      <w:sz w:val="24"/>
                    </w:rPr>
                    <w:t>their</w:t>
                  </w:r>
                </w:p>
              </w:tc>
            </w:tr>
            <w:tr w:rsidR="00105FB6" w:rsidRPr="00C52759" w14:paraId="7AB334D1" w14:textId="77777777" w:rsidTr="00105FB6">
              <w:tc>
                <w:tcPr>
                  <w:tcW w:w="5015" w:type="dxa"/>
                </w:tcPr>
                <w:p w14:paraId="220B6FD7" w14:textId="77777777" w:rsidR="00105FB6" w:rsidRPr="00934ACF" w:rsidRDefault="00105FB6" w:rsidP="001703E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sz w:val="24"/>
                      <w:u w:val="single"/>
                    </w:rPr>
                  </w:pPr>
                  <w:r w:rsidRPr="00934ACF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>Rex</w:t>
                  </w:r>
                </w:p>
                <w:p w14:paraId="0F8311A4" w14:textId="310258BB" w:rsidR="00837316" w:rsidRPr="00837316" w:rsidRDefault="00837316" w:rsidP="001703E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e</w:t>
                  </w:r>
                  <w:r w:rsidRPr="00837316">
                    <w:rPr>
                      <w:rFonts w:ascii="Twinkl SemiBold" w:hAnsi="Twinkl SemiBold"/>
                      <w:sz w:val="24"/>
                    </w:rPr>
                    <w:t xml:space="preserve">ach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   </w:t>
                  </w:r>
                  <w:r w:rsidRPr="00837316">
                    <w:rPr>
                      <w:rFonts w:ascii="Twinkl SemiBold" w:hAnsi="Twinkl SemiBold"/>
                      <w:sz w:val="24"/>
                    </w:rPr>
                    <w:t xml:space="preserve">ask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     </w:t>
                  </w:r>
                  <w:r w:rsidRPr="00837316">
                    <w:rPr>
                      <w:rFonts w:ascii="Twinkl SemiBold" w:hAnsi="Twinkl SemiBold"/>
                      <w:sz w:val="24"/>
                    </w:rPr>
                    <w:t>year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    ea</w:t>
                  </w:r>
                  <w:r w:rsidRPr="00837316">
                    <w:rPr>
                      <w:rFonts w:ascii="Twinkl SemiBold" w:hAnsi="Twinkl SemiBold"/>
                      <w:sz w:val="24"/>
                    </w:rPr>
                    <w:t>t</w:t>
                  </w:r>
                </w:p>
                <w:p w14:paraId="0A4751AF" w14:textId="12096CA2" w:rsidR="00837316" w:rsidRPr="00837316" w:rsidRDefault="00837316" w:rsidP="001703E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speak       clean        steal         tea</w:t>
                  </w:r>
                  <w:r w:rsidRPr="00837316">
                    <w:rPr>
                      <w:rFonts w:ascii="Twinkl SemiBold" w:hAnsi="Twinkl SemiBold"/>
                      <w:sz w:val="24"/>
                    </w:rPr>
                    <w:t>m</w:t>
                  </w:r>
                </w:p>
                <w:p w14:paraId="56D9C04D" w14:textId="62660992" w:rsidR="00105FB6" w:rsidRPr="00934ACF" w:rsidRDefault="00837316" w:rsidP="001703E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stream     whea</w:t>
                  </w:r>
                  <w:r w:rsidRPr="00837316">
                    <w:rPr>
                      <w:rFonts w:ascii="Twinkl SemiBold" w:hAnsi="Twinkl SemiBold"/>
                      <w:sz w:val="24"/>
                    </w:rPr>
                    <w:t>t</w:t>
                  </w:r>
                </w:p>
              </w:tc>
            </w:tr>
          </w:tbl>
          <w:p w14:paraId="183FCBC9" w14:textId="49C5E0E5" w:rsidR="00105FB6" w:rsidRPr="00C52759" w:rsidRDefault="00105FB6" w:rsidP="0011565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</w:tcPr>
          <w:p w14:paraId="39C08A8B" w14:textId="38609B52" w:rsidR="00FB4BF5" w:rsidRDefault="00FB4BF5" w:rsidP="00FB4BF5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FB4BF5" w14:paraId="0814C13B" w14:textId="77777777" w:rsidTr="00EF53D3">
              <w:tc>
                <w:tcPr>
                  <w:tcW w:w="4594" w:type="dxa"/>
                  <w:vAlign w:val="center"/>
                </w:tcPr>
                <w:p w14:paraId="38998B5B" w14:textId="09EC8C8E" w:rsidR="00D871AF" w:rsidRPr="00D871AF" w:rsidRDefault="001703E9" w:rsidP="001703E9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16"/>
                    </w:rPr>
                  </w:pPr>
                  <w:hyperlink r:id="rId10" w:history="1">
                    <w:r w:rsidR="00D871AF" w:rsidRPr="00936B1E">
                      <w:rPr>
                        <w:rStyle w:val="Hyperlink"/>
                        <w:rFonts w:ascii="Twinkl SemiBold" w:hAnsi="Twinkl SemiBold"/>
                        <w:sz w:val="16"/>
                      </w:rPr>
                      <w:t>https://mathsframe.co.uk/en/resources/resource/289/KS2_Maths_Invaders</w:t>
                    </w:r>
                  </w:hyperlink>
                  <w:r w:rsidR="00D871AF">
                    <w:rPr>
                      <w:rFonts w:ascii="Twinkl SemiBold" w:hAnsi="Twinkl SemiBold"/>
                      <w:sz w:val="16"/>
                    </w:rPr>
                    <w:t xml:space="preserve"> </w:t>
                  </w:r>
                </w:p>
                <w:p w14:paraId="68CECA21" w14:textId="0E02E391" w:rsidR="00372677" w:rsidRDefault="001703E9" w:rsidP="001703E9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1" w:history="1">
                    <w:r w:rsidR="00D871AF" w:rsidRPr="00D871AF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read numbers in numerals and words.</w:t>
                    </w:r>
                  </w:hyperlink>
                </w:p>
                <w:p w14:paraId="41802176" w14:textId="33C2CBD4" w:rsidR="00D871AF" w:rsidRDefault="00D871AF" w:rsidP="001703E9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D871AF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5312479A" wp14:editId="679E9C24">
                        <wp:extent cx="1343916" cy="642796"/>
                        <wp:effectExtent l="0" t="0" r="8890" b="508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1018" cy="6605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E3A154" w14:textId="60A515B0" w:rsidR="00D871AF" w:rsidRDefault="001703E9" w:rsidP="001703E9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3" w:history="1">
                    <w:r w:rsidR="00D871AF" w:rsidRPr="00D871AF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add numbers together.</w:t>
                    </w:r>
                  </w:hyperlink>
                  <w:r w:rsidR="00D871AF"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</w:p>
                <w:p w14:paraId="208540E9" w14:textId="17047E30" w:rsidR="00D871AF" w:rsidRDefault="00D871AF" w:rsidP="001703E9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D871AF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2269C4FE" wp14:editId="3C2DE5F9">
                        <wp:extent cx="1348607" cy="846499"/>
                        <wp:effectExtent l="0" t="0" r="444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518" cy="8571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B85EAC" w14:textId="28A4C45E" w:rsidR="00D871AF" w:rsidRDefault="00D871AF" w:rsidP="001703E9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 xml:space="preserve">*Challenge yourself! Be resilient and use your growth </w:t>
                  </w:r>
                  <w:proofErr w:type="spellStart"/>
                  <w:r>
                    <w:rPr>
                      <w:rFonts w:ascii="Twinkl SemiBold" w:hAnsi="Twinkl SemiBold"/>
                      <w:sz w:val="24"/>
                    </w:rPr>
                    <w:t>mindset</w:t>
                  </w:r>
                  <w:proofErr w:type="spellEnd"/>
                  <w:r>
                    <w:rPr>
                      <w:rFonts w:ascii="Twinkl SemiBold" w:hAnsi="Twinkl SemiBold"/>
                      <w:sz w:val="24"/>
                    </w:rPr>
                    <w:t xml:space="preserve">. </w:t>
                  </w:r>
                  <w:r>
                    <w:rPr>
                      <w:rFonts w:ascii="Twinkl SemiBold" w:hAnsi="Twinkl SemiBold"/>
                      <w:sz w:val="24"/>
                    </w:rPr>
                    <w:sym w:font="Wingdings" w:char="F04A"/>
                  </w:r>
                </w:p>
              </w:tc>
            </w:tr>
          </w:tbl>
          <w:p w14:paraId="30297531" w14:textId="463D634B" w:rsidR="00FB4BF5" w:rsidRPr="00C52759" w:rsidRDefault="00FB4BF5" w:rsidP="00FB4BF5">
            <w:pPr>
              <w:rPr>
                <w:rFonts w:ascii="Twinkl SemiBold" w:hAnsi="Twinkl SemiBold"/>
                <w:sz w:val="24"/>
              </w:rPr>
            </w:pPr>
          </w:p>
        </w:tc>
      </w:tr>
      <w:tr w:rsidR="00115653" w:rsidRPr="00447E6A" w14:paraId="2174704B" w14:textId="77777777" w:rsidTr="00105FB6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25898429" w14:textId="7B4D799E" w:rsidR="00115653" w:rsidRDefault="00115653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D962808" w14:textId="298FDB51" w:rsidR="00115653" w:rsidRDefault="00105FB6" w:rsidP="00105FB6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0EDD806E" w14:textId="25435FA8" w:rsidR="00C52759" w:rsidRDefault="00C52759" w:rsidP="00C52759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LI – We are learning to be fluent readers.</w:t>
            </w:r>
          </w:p>
          <w:p w14:paraId="24B96B60" w14:textId="77777777" w:rsidR="00C52759" w:rsidRDefault="00C52759" w:rsidP="00C52759">
            <w:pPr>
              <w:rPr>
                <w:rFonts w:ascii="Twinkl SemiBold" w:hAnsi="Twinkl SemiBold"/>
                <w:color w:val="00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C52759" w14:paraId="183C8FC3" w14:textId="77777777" w:rsidTr="00C52759">
              <w:tc>
                <w:tcPr>
                  <w:tcW w:w="5015" w:type="dxa"/>
                </w:tcPr>
                <w:p w14:paraId="649A2CC6" w14:textId="77777777" w:rsidR="00C52759" w:rsidRPr="00C52759" w:rsidRDefault="00C52759" w:rsidP="001703E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Woody</w:t>
                  </w:r>
                </w:p>
                <w:p w14:paraId="01E3B8FE" w14:textId="09663396" w:rsidR="00C52759" w:rsidRDefault="001703E9" w:rsidP="001703E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Just the Job</w:t>
                  </w:r>
                  <w:bookmarkStart w:id="0" w:name="_GoBack"/>
                  <w:bookmarkEnd w:id="0"/>
                </w:p>
              </w:tc>
            </w:tr>
            <w:tr w:rsidR="00C52759" w14:paraId="24A57F1F" w14:textId="77777777" w:rsidTr="00C52759">
              <w:tc>
                <w:tcPr>
                  <w:tcW w:w="5015" w:type="dxa"/>
                </w:tcPr>
                <w:p w14:paraId="1248C470" w14:textId="77777777" w:rsidR="00C52759" w:rsidRPr="00C52759" w:rsidRDefault="00C52759" w:rsidP="001703E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 xml:space="preserve">Buzz </w:t>
                  </w:r>
                  <w:proofErr w:type="spellStart"/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Lightyear</w:t>
                  </w:r>
                  <w:proofErr w:type="spellEnd"/>
                </w:p>
                <w:p w14:paraId="6663FB1D" w14:textId="23E216AD" w:rsidR="00C52759" w:rsidRDefault="001703E9" w:rsidP="001703E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Zoo Map</w:t>
                  </w:r>
                </w:p>
              </w:tc>
            </w:tr>
            <w:tr w:rsidR="00C52759" w14:paraId="3E6417D8" w14:textId="77777777" w:rsidTr="00C52759">
              <w:tc>
                <w:tcPr>
                  <w:tcW w:w="5015" w:type="dxa"/>
                </w:tcPr>
                <w:p w14:paraId="592C1F90" w14:textId="77777777" w:rsidR="00C52759" w:rsidRPr="00C52759" w:rsidRDefault="00C52759" w:rsidP="001703E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Little Aliens</w:t>
                  </w:r>
                </w:p>
                <w:p w14:paraId="7C0A9E33" w14:textId="0246DA89" w:rsidR="00C52759" w:rsidRDefault="001703E9" w:rsidP="001703E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I Like to Play</w:t>
                  </w:r>
                </w:p>
              </w:tc>
            </w:tr>
            <w:tr w:rsidR="00C52759" w14:paraId="38FA2B4E" w14:textId="77777777" w:rsidTr="00C52759">
              <w:tc>
                <w:tcPr>
                  <w:tcW w:w="5015" w:type="dxa"/>
                </w:tcPr>
                <w:p w14:paraId="72897879" w14:textId="77777777" w:rsidR="00C52759" w:rsidRPr="00C52759" w:rsidRDefault="00C52759" w:rsidP="001703E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Rex</w:t>
                  </w:r>
                </w:p>
                <w:p w14:paraId="20F38320" w14:textId="39A015AE" w:rsidR="00C52759" w:rsidRDefault="001703E9" w:rsidP="001703E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The Strong Wind</w:t>
                  </w:r>
                </w:p>
              </w:tc>
            </w:tr>
          </w:tbl>
          <w:p w14:paraId="3434521A" w14:textId="5A424226" w:rsidR="00115653" w:rsidRPr="00C52759" w:rsidRDefault="00115653" w:rsidP="00EF53D3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</w:tcPr>
          <w:p w14:paraId="7D98DF75" w14:textId="5095CD1E" w:rsidR="00DF6D13" w:rsidRDefault="00FA166A" w:rsidP="00DF6D13">
            <w:pPr>
              <w:jc w:val="center"/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Can You Do It To?</w:t>
            </w:r>
          </w:p>
          <w:p w14:paraId="1DEADCD4" w14:textId="46D3738C" w:rsidR="00FA166A" w:rsidRDefault="00FA166A" w:rsidP="00DF6D1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 w:rsidRPr="00FA166A">
              <w:rPr>
                <w:rFonts w:ascii="Twinkl SemiBold" w:hAnsi="Twinkl SemiBold"/>
                <w:noProof/>
                <w:color w:val="000000"/>
                <w:sz w:val="24"/>
                <w:lang w:eastAsia="en-GB"/>
              </w:rPr>
              <w:drawing>
                <wp:inline distT="0" distB="0" distL="0" distR="0" wp14:anchorId="018AFACE" wp14:editId="4BC45A92">
                  <wp:extent cx="844593" cy="8255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93" cy="825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04A55D" w14:textId="725C099A" w:rsidR="00FA166A" w:rsidRDefault="00FA166A" w:rsidP="00DF6D13">
            <w:pPr>
              <w:jc w:val="center"/>
              <w:rPr>
                <w:rFonts w:ascii="Twinkl SemiBold" w:hAnsi="Twinkl SemiBold"/>
                <w:color w:val="000000"/>
                <w:sz w:val="24"/>
                <w:shd w:val="clear" w:color="auto" w:fill="FFFFFF"/>
              </w:rPr>
            </w:pPr>
            <w:r w:rsidRPr="00FA166A">
              <w:rPr>
                <w:rFonts w:ascii="Twinkl SemiBold" w:hAnsi="Twinkl SemiBold"/>
                <w:color w:val="000000"/>
                <w:sz w:val="24"/>
                <w:shd w:val="clear" w:color="auto" w:fill="FFFFFF"/>
              </w:rPr>
              <w:t>Try some throwing activities and see whether you can throw something as far as the Olympic hammer or discus throwers.</w:t>
            </w:r>
          </w:p>
          <w:p w14:paraId="4FE95806" w14:textId="50B59432" w:rsidR="00FA166A" w:rsidRPr="00FA166A" w:rsidRDefault="001703E9" w:rsidP="00DF6D13">
            <w:pPr>
              <w:jc w:val="center"/>
              <w:rPr>
                <w:rFonts w:ascii="Twinkl SemiBold" w:hAnsi="Twinkl SemiBold"/>
                <w:color w:val="000000"/>
                <w:sz w:val="20"/>
              </w:rPr>
            </w:pPr>
            <w:hyperlink r:id="rId16" w:history="1">
              <w:r w:rsidR="00FA166A" w:rsidRPr="00FA166A">
                <w:rPr>
                  <w:rStyle w:val="Hyperlink"/>
                  <w:rFonts w:ascii="Twinkl SemiBold" w:hAnsi="Twinkl SemiBold"/>
                  <w:sz w:val="20"/>
                </w:rPr>
                <w:t>https://nrich.maths.org/8327/note</w:t>
              </w:r>
            </w:hyperlink>
            <w:r w:rsidR="00FA166A" w:rsidRPr="00FA166A">
              <w:rPr>
                <w:rFonts w:ascii="Twinkl SemiBold" w:hAnsi="Twinkl SemiBold"/>
                <w:color w:val="000000"/>
                <w:sz w:val="20"/>
              </w:rPr>
              <w:t xml:space="preserve"> </w:t>
            </w:r>
          </w:p>
          <w:p w14:paraId="5AF66451" w14:textId="67DD4351" w:rsidR="004C52B1" w:rsidRPr="00E22273" w:rsidRDefault="004C52B1" w:rsidP="004C52B1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</w:tbl>
    <w:p w14:paraId="6AC4FCF7" w14:textId="112C3C98" w:rsidR="008D35FC" w:rsidRPr="00F84D3C" w:rsidRDefault="00EE5780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1935"/>
    <w:rsid w:val="000541CB"/>
    <w:rsid w:val="00057F4B"/>
    <w:rsid w:val="00071372"/>
    <w:rsid w:val="00075EF8"/>
    <w:rsid w:val="000850E0"/>
    <w:rsid w:val="000966E3"/>
    <w:rsid w:val="000A11CB"/>
    <w:rsid w:val="000D755A"/>
    <w:rsid w:val="00105FB6"/>
    <w:rsid w:val="00107AE1"/>
    <w:rsid w:val="00115653"/>
    <w:rsid w:val="0012544A"/>
    <w:rsid w:val="0013406C"/>
    <w:rsid w:val="001703E9"/>
    <w:rsid w:val="001723DB"/>
    <w:rsid w:val="001768E2"/>
    <w:rsid w:val="001B7080"/>
    <w:rsid w:val="001F7439"/>
    <w:rsid w:val="0020342C"/>
    <w:rsid w:val="002038D0"/>
    <w:rsid w:val="00222BFE"/>
    <w:rsid w:val="00235620"/>
    <w:rsid w:val="00277AAA"/>
    <w:rsid w:val="0028365D"/>
    <w:rsid w:val="002873B3"/>
    <w:rsid w:val="0029237F"/>
    <w:rsid w:val="002928E6"/>
    <w:rsid w:val="002A7533"/>
    <w:rsid w:val="002B2FAB"/>
    <w:rsid w:val="002F1E55"/>
    <w:rsid w:val="00307419"/>
    <w:rsid w:val="00345A4F"/>
    <w:rsid w:val="003546FA"/>
    <w:rsid w:val="00372677"/>
    <w:rsid w:val="003C7C30"/>
    <w:rsid w:val="00406434"/>
    <w:rsid w:val="00430B02"/>
    <w:rsid w:val="00447E6A"/>
    <w:rsid w:val="004729F1"/>
    <w:rsid w:val="0049313D"/>
    <w:rsid w:val="004C52B1"/>
    <w:rsid w:val="004F2C1C"/>
    <w:rsid w:val="00564E93"/>
    <w:rsid w:val="00567CC2"/>
    <w:rsid w:val="005900B6"/>
    <w:rsid w:val="00631860"/>
    <w:rsid w:val="006406ED"/>
    <w:rsid w:val="00645387"/>
    <w:rsid w:val="00675A2C"/>
    <w:rsid w:val="006819B8"/>
    <w:rsid w:val="006B4670"/>
    <w:rsid w:val="006D6686"/>
    <w:rsid w:val="006E0B24"/>
    <w:rsid w:val="006F2A91"/>
    <w:rsid w:val="007054FF"/>
    <w:rsid w:val="00710E18"/>
    <w:rsid w:val="007609D1"/>
    <w:rsid w:val="00782A41"/>
    <w:rsid w:val="007840FD"/>
    <w:rsid w:val="007A7049"/>
    <w:rsid w:val="007B0348"/>
    <w:rsid w:val="007B3E86"/>
    <w:rsid w:val="007F5DEF"/>
    <w:rsid w:val="00837316"/>
    <w:rsid w:val="008630AF"/>
    <w:rsid w:val="00874697"/>
    <w:rsid w:val="008B61A0"/>
    <w:rsid w:val="008D35FC"/>
    <w:rsid w:val="008E4E7F"/>
    <w:rsid w:val="00901998"/>
    <w:rsid w:val="00934ACF"/>
    <w:rsid w:val="0095311C"/>
    <w:rsid w:val="0095450C"/>
    <w:rsid w:val="00992FBD"/>
    <w:rsid w:val="009A28B9"/>
    <w:rsid w:val="009C347D"/>
    <w:rsid w:val="009E44C9"/>
    <w:rsid w:val="009E798A"/>
    <w:rsid w:val="009F77EF"/>
    <w:rsid w:val="00A01ED4"/>
    <w:rsid w:val="00A14193"/>
    <w:rsid w:val="00A533EC"/>
    <w:rsid w:val="00A55692"/>
    <w:rsid w:val="00A93400"/>
    <w:rsid w:val="00A960FD"/>
    <w:rsid w:val="00B044EE"/>
    <w:rsid w:val="00B06224"/>
    <w:rsid w:val="00B445FD"/>
    <w:rsid w:val="00B50894"/>
    <w:rsid w:val="00B84A57"/>
    <w:rsid w:val="00B92914"/>
    <w:rsid w:val="00BF306A"/>
    <w:rsid w:val="00C04B8D"/>
    <w:rsid w:val="00C22CD4"/>
    <w:rsid w:val="00C27BAE"/>
    <w:rsid w:val="00C32A69"/>
    <w:rsid w:val="00C3452F"/>
    <w:rsid w:val="00C34F04"/>
    <w:rsid w:val="00C427E8"/>
    <w:rsid w:val="00C46C14"/>
    <w:rsid w:val="00C52759"/>
    <w:rsid w:val="00C854CD"/>
    <w:rsid w:val="00C86B3E"/>
    <w:rsid w:val="00C87D96"/>
    <w:rsid w:val="00C936DC"/>
    <w:rsid w:val="00CC2718"/>
    <w:rsid w:val="00CE7D6B"/>
    <w:rsid w:val="00CF7C60"/>
    <w:rsid w:val="00D871AF"/>
    <w:rsid w:val="00DA12D9"/>
    <w:rsid w:val="00DB2532"/>
    <w:rsid w:val="00DF6D13"/>
    <w:rsid w:val="00E22273"/>
    <w:rsid w:val="00E42D81"/>
    <w:rsid w:val="00E46B7A"/>
    <w:rsid w:val="00E65E41"/>
    <w:rsid w:val="00EC5BC8"/>
    <w:rsid w:val="00ED7BC6"/>
    <w:rsid w:val="00EE5780"/>
    <w:rsid w:val="00EF53D3"/>
    <w:rsid w:val="00EF5AC9"/>
    <w:rsid w:val="00F36E08"/>
    <w:rsid w:val="00F40172"/>
    <w:rsid w:val="00F50131"/>
    <w:rsid w:val="00F63ED0"/>
    <w:rsid w:val="00F84D3C"/>
    <w:rsid w:val="00FA166A"/>
    <w:rsid w:val="00FA3095"/>
    <w:rsid w:val="00FB4BF5"/>
    <w:rsid w:val="00FB4F89"/>
    <w:rsid w:val="00FC4555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thsframe.co.uk/en/resources/resource/289/KS2_Maths_Invaders" TargetMode="External"/><Relationship Id="rId18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nrich.maths.org/8327/not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thsframe.co.uk/en/resources/resource/289/KS2_Maths_Invader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s://mathsframe.co.uk/en/resources/resource/289/KS2_Maths_Invaders" TargetMode="Externa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616EC-D6BF-4CE6-954D-3B89817F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Windows User</cp:lastModifiedBy>
  <cp:revision>41</cp:revision>
  <dcterms:created xsi:type="dcterms:W3CDTF">2023-08-31T16:38:00Z</dcterms:created>
  <dcterms:modified xsi:type="dcterms:W3CDTF">2023-10-02T10:37:00Z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