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39" w:rsidRDefault="009B6939" w:rsidP="00BE2CD7">
      <w:pPr>
        <w:pStyle w:val="Heading1"/>
        <w:jc w:val="center"/>
      </w:pPr>
      <w:r>
        <w:t>Learning Settings Education Improvement Plan</w:t>
      </w:r>
    </w:p>
    <w:p w:rsidR="009E709C" w:rsidRDefault="009E709C" w:rsidP="009E709C">
      <w:pPr>
        <w:pStyle w:val="Heading3"/>
      </w:pPr>
      <w:r>
        <w:t>PEF</w:t>
      </w:r>
    </w:p>
    <w:tbl>
      <w:tblPr>
        <w:tblStyle w:val="TableGrid"/>
        <w:tblW w:w="14879" w:type="dxa"/>
        <w:tblLayout w:type="fixed"/>
        <w:tblLook w:val="04A0" w:firstRow="1" w:lastRow="0" w:firstColumn="1" w:lastColumn="0" w:noHBand="0" w:noVBand="1"/>
      </w:tblPr>
      <w:tblGrid>
        <w:gridCol w:w="10910"/>
        <w:gridCol w:w="2242"/>
        <w:gridCol w:w="1727"/>
      </w:tblGrid>
      <w:tr w:rsidR="00BE2CD7" w:rsidTr="00BE2CD7">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pPr>
              <w:ind w:left="203"/>
              <w:jc w:val="center"/>
            </w:pPr>
            <w:r>
              <w:rPr>
                <w:b/>
              </w:rPr>
              <w:t>Actions Required to Achieve Outcome</w:t>
            </w: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9E709C">
            <w:pPr>
              <w:ind w:left="413"/>
              <w:jc w:val="center"/>
            </w:pPr>
            <w:r>
              <w:rPr>
                <w:b/>
              </w:rPr>
              <w:t>Responsibility</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pPr>
              <w:ind w:left="517"/>
              <w:jc w:val="center"/>
            </w:pPr>
            <w:r>
              <w:rPr>
                <w:b/>
              </w:rPr>
              <w:t>Timescales</w:t>
            </w:r>
          </w:p>
        </w:tc>
      </w:tr>
      <w:tr w:rsidR="00BE2CD7" w:rsidTr="00BE2CD7">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pPr>
              <w:rPr>
                <w:rFonts w:cstheme="minorHAnsi"/>
                <w:b/>
                <w:u w:val="single"/>
              </w:rPr>
            </w:pPr>
            <w:r>
              <w:t>Education service to embed PEF Impact Visits as part of the School Visits Programme in order to supporting and challenging schools in their use of PEF to make progress in outcomes of children and young people impacted by poverty.</w:t>
            </w: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9E709C">
            <w:pPr>
              <w:numPr>
                <w:ilvl w:val="0"/>
                <w:numId w:val="7"/>
              </w:numPr>
              <w:spacing w:line="254" w:lineRule="auto"/>
            </w:pPr>
            <w:r>
              <w:t>QIOs</w:t>
            </w:r>
          </w:p>
          <w:p w:rsidR="009E709C" w:rsidRDefault="009E709C" w:rsidP="009E709C">
            <w:pPr>
              <w:numPr>
                <w:ilvl w:val="0"/>
                <w:numId w:val="7"/>
              </w:numPr>
              <w:spacing w:line="254" w:lineRule="auto"/>
            </w:pPr>
            <w:r>
              <w:t xml:space="preserve">All Heads </w:t>
            </w:r>
          </w:p>
          <w:p w:rsidR="009E709C" w:rsidRDefault="009E709C" w:rsidP="009E709C">
            <w:pPr>
              <w:numPr>
                <w:ilvl w:val="0"/>
                <w:numId w:val="7"/>
              </w:numPr>
              <w:spacing w:line="254" w:lineRule="auto"/>
            </w:pPr>
            <w:r>
              <w:t>Chris Flanagan</w:t>
            </w:r>
          </w:p>
          <w:p w:rsidR="009E709C" w:rsidRDefault="009E709C" w:rsidP="009E709C">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pPr>
              <w:rPr>
                <w:b/>
              </w:rPr>
            </w:pPr>
            <w:r>
              <w:t>June 2024</w:t>
            </w:r>
          </w:p>
        </w:tc>
      </w:tr>
      <w:tr w:rsidR="00BE2CD7" w:rsidTr="00BE2CD7">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6F0227">
            <w:pPr>
              <w:rPr>
                <w:b/>
              </w:rPr>
            </w:pPr>
            <w:r>
              <w:t xml:space="preserve">Improve </w:t>
            </w:r>
            <w:proofErr w:type="spellStart"/>
            <w:r>
              <w:t>SiP</w:t>
            </w:r>
            <w:proofErr w:type="spellEnd"/>
            <w:r>
              <w:t xml:space="preserve"> and S&amp;Q PEF reporting to ensure explicitly reporting on the impact on outcomes for learners, linked to the local authority stretch aims. </w:t>
            </w:r>
            <w:r w:rsidR="006F0227">
              <w:t xml:space="preserve">Allowing for sharing of data and evidence of effective programmes which </w:t>
            </w:r>
            <w:r w:rsidR="006F0227">
              <w:rPr>
                <w:rStyle w:val="Hyperlink"/>
                <w:rFonts w:cstheme="minorHAnsi"/>
                <w:bCs/>
                <w:color w:val="auto"/>
                <w:u w:val="none"/>
              </w:rPr>
              <w:t>f</w:t>
            </w:r>
            <w:r w:rsidR="00BC696C">
              <w:rPr>
                <w:rStyle w:val="Hyperlink"/>
                <w:rFonts w:cstheme="minorHAnsi"/>
                <w:bCs/>
                <w:color w:val="auto"/>
                <w:u w:val="none"/>
              </w:rPr>
              <w:t>ocusi</w:t>
            </w:r>
            <w:r w:rsidR="006F0227">
              <w:rPr>
                <w:rStyle w:val="Hyperlink"/>
                <w:rFonts w:cstheme="minorHAnsi"/>
                <w:bCs/>
                <w:color w:val="auto"/>
                <w:u w:val="none"/>
              </w:rPr>
              <w:t xml:space="preserve">ng </w:t>
            </w:r>
            <w:r w:rsidR="006F0227">
              <w:rPr>
                <w:rFonts w:cstheme="minorHAnsi"/>
              </w:rPr>
              <w:t xml:space="preserve">on closing the poverty gap.   </w:t>
            </w: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9E709C">
            <w:pPr>
              <w:numPr>
                <w:ilvl w:val="0"/>
                <w:numId w:val="7"/>
              </w:numPr>
              <w:spacing w:line="254" w:lineRule="auto"/>
            </w:pPr>
            <w:r>
              <w:t xml:space="preserve">All Heads </w:t>
            </w:r>
          </w:p>
          <w:p w:rsidR="009E709C" w:rsidRDefault="009E709C" w:rsidP="009E709C">
            <w:pPr>
              <w:numPr>
                <w:ilvl w:val="0"/>
                <w:numId w:val="7"/>
              </w:numPr>
              <w:spacing w:line="254" w:lineRule="auto"/>
            </w:pPr>
            <w:r>
              <w:t>Chris Flanagan</w:t>
            </w:r>
          </w:p>
          <w:p w:rsidR="009E709C" w:rsidRDefault="009E709C" w:rsidP="009E709C">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pPr>
              <w:rPr>
                <w:b/>
              </w:rPr>
            </w:pPr>
            <w:r>
              <w:t>June 2024</w:t>
            </w:r>
          </w:p>
        </w:tc>
      </w:tr>
      <w:tr w:rsidR="00BE2CD7" w:rsidTr="00BE2CD7">
        <w:trPr>
          <w:trHeight w:val="690"/>
        </w:trPr>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pPr>
              <w:pStyle w:val="Heading1"/>
              <w:outlineLvl w:val="0"/>
              <w:rPr>
                <w:rFonts w:asciiTheme="minorHAnsi" w:hAnsiTheme="minorHAnsi" w:cstheme="minorHAnsi"/>
                <w:b/>
                <w:color w:val="auto"/>
                <w:sz w:val="22"/>
                <w:szCs w:val="22"/>
              </w:rPr>
            </w:pPr>
            <w:r>
              <w:rPr>
                <w:rFonts w:asciiTheme="minorHAnsi" w:hAnsiTheme="minorHAnsi" w:cstheme="minorHAnsi"/>
                <w:color w:val="auto"/>
                <w:sz w:val="22"/>
                <w:szCs w:val="22"/>
              </w:rPr>
              <w:t xml:space="preserve">Meaningfully involve and collaborate with children and young people, families and other partners </w:t>
            </w:r>
            <w:r w:rsidR="00350B57">
              <w:rPr>
                <w:rFonts w:asciiTheme="minorHAnsi" w:hAnsiTheme="minorHAnsi" w:cstheme="minorHAnsi"/>
                <w:color w:val="auto"/>
                <w:sz w:val="22"/>
                <w:szCs w:val="22"/>
              </w:rPr>
              <w:t xml:space="preserve">embedded in decision making </w:t>
            </w:r>
            <w:r>
              <w:rPr>
                <w:rFonts w:asciiTheme="minorHAnsi" w:hAnsiTheme="minorHAnsi" w:cstheme="minorHAnsi"/>
                <w:color w:val="auto"/>
                <w:sz w:val="22"/>
                <w:szCs w:val="22"/>
              </w:rPr>
              <w:t xml:space="preserve">throughout the PEF process. E.g. participatory budgeting.  </w:t>
            </w: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5A49F8" w:rsidP="009E709C">
            <w:pPr>
              <w:numPr>
                <w:ilvl w:val="0"/>
                <w:numId w:val="7"/>
              </w:numPr>
              <w:spacing w:line="254" w:lineRule="auto"/>
            </w:pPr>
            <w:r>
              <w:t>Path</w:t>
            </w:r>
            <w:r w:rsidR="009E709C">
              <w:t xml:space="preserve">finder school Heads </w:t>
            </w:r>
          </w:p>
          <w:p w:rsidR="009E709C" w:rsidRDefault="009E709C" w:rsidP="009E709C">
            <w:pPr>
              <w:numPr>
                <w:ilvl w:val="0"/>
                <w:numId w:val="7"/>
              </w:numPr>
              <w:spacing w:line="254" w:lineRule="auto"/>
            </w:pPr>
            <w:r>
              <w:t>Chris Flanagan</w:t>
            </w:r>
          </w:p>
          <w:p w:rsidR="009E709C" w:rsidRDefault="009E709C" w:rsidP="009E709C">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pPr>
              <w:rPr>
                <w:b/>
              </w:rPr>
            </w:pPr>
            <w:r>
              <w:t>June 2024</w:t>
            </w:r>
          </w:p>
        </w:tc>
      </w:tr>
      <w:tr w:rsidR="00BE2CD7" w:rsidTr="00BE2CD7">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6F0227">
            <w:pPr>
              <w:pStyle w:val="Heading1"/>
              <w:outlineLvl w:val="0"/>
              <w:rPr>
                <w:b/>
                <w:color w:val="auto"/>
              </w:rPr>
            </w:pPr>
            <w:r>
              <w:rPr>
                <w:rFonts w:asciiTheme="minorHAnsi" w:hAnsiTheme="minorHAnsi" w:cstheme="minorHAnsi"/>
                <w:color w:val="auto"/>
                <w:sz w:val="22"/>
                <w:szCs w:val="22"/>
              </w:rPr>
              <w:t xml:space="preserve">Improve practice </w:t>
            </w:r>
            <w:r w:rsidR="000711BC">
              <w:rPr>
                <w:rFonts w:asciiTheme="minorHAnsi" w:hAnsiTheme="minorHAnsi" w:cstheme="minorHAnsi"/>
                <w:color w:val="auto"/>
                <w:sz w:val="22"/>
                <w:szCs w:val="22"/>
              </w:rPr>
              <w:t xml:space="preserve">and strategic collaboration across education </w:t>
            </w:r>
            <w:r>
              <w:rPr>
                <w:rFonts w:asciiTheme="minorHAnsi" w:hAnsiTheme="minorHAnsi" w:cstheme="minorHAnsi"/>
                <w:color w:val="auto"/>
                <w:sz w:val="22"/>
                <w:szCs w:val="22"/>
              </w:rPr>
              <w:t>by working collectively with other schools, educatio</w:t>
            </w:r>
            <w:r w:rsidR="000711BC">
              <w:rPr>
                <w:rFonts w:asciiTheme="minorHAnsi" w:hAnsiTheme="minorHAnsi" w:cstheme="minorHAnsi"/>
                <w:color w:val="auto"/>
                <w:sz w:val="22"/>
                <w:szCs w:val="22"/>
              </w:rPr>
              <w:t xml:space="preserve">n groups or community partners on innovative, sustainable and impactful </w:t>
            </w:r>
            <w:proofErr w:type="gramStart"/>
            <w:r w:rsidR="000711BC">
              <w:rPr>
                <w:rFonts w:asciiTheme="minorHAnsi" w:hAnsiTheme="minorHAnsi" w:cstheme="minorHAnsi"/>
                <w:color w:val="auto"/>
                <w:sz w:val="22"/>
                <w:szCs w:val="22"/>
              </w:rPr>
              <w:t>approaches which</w:t>
            </w:r>
            <w:proofErr w:type="gramEnd"/>
            <w:r w:rsidR="000711BC">
              <w:rPr>
                <w:rFonts w:asciiTheme="minorHAnsi" w:hAnsiTheme="minorHAnsi" w:cstheme="minorHAnsi"/>
                <w:color w:val="auto"/>
                <w:sz w:val="22"/>
                <w:szCs w:val="22"/>
              </w:rPr>
              <w:t xml:space="preserve"> focus </w:t>
            </w:r>
            <w:r w:rsidR="006F0227">
              <w:rPr>
                <w:rFonts w:asciiTheme="minorHAnsi" w:hAnsiTheme="minorHAnsi" w:cstheme="minorHAnsi"/>
                <w:color w:val="auto"/>
                <w:sz w:val="22"/>
                <w:szCs w:val="22"/>
              </w:rPr>
              <w:t xml:space="preserve">on </w:t>
            </w:r>
            <w:r w:rsidR="006F0227">
              <w:rPr>
                <w:rStyle w:val="Hyperlink"/>
                <w:rFonts w:asciiTheme="minorHAnsi" w:hAnsiTheme="minorHAnsi" w:cstheme="minorHAnsi"/>
                <w:bCs/>
                <w:color w:val="auto"/>
                <w:sz w:val="22"/>
                <w:szCs w:val="22"/>
                <w:u w:val="none"/>
              </w:rPr>
              <w:t>equity for learners.</w:t>
            </w: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9E709C">
            <w:pPr>
              <w:numPr>
                <w:ilvl w:val="0"/>
                <w:numId w:val="7"/>
              </w:numPr>
              <w:spacing w:line="254" w:lineRule="auto"/>
            </w:pPr>
            <w:r>
              <w:t xml:space="preserve">All Heads </w:t>
            </w:r>
          </w:p>
          <w:p w:rsidR="009E709C" w:rsidRDefault="009E709C" w:rsidP="009E709C">
            <w:pPr>
              <w:numPr>
                <w:ilvl w:val="0"/>
                <w:numId w:val="7"/>
              </w:numPr>
              <w:spacing w:line="254" w:lineRule="auto"/>
            </w:pPr>
            <w:r>
              <w:t>Chris Flanagan</w:t>
            </w:r>
          </w:p>
          <w:p w:rsidR="009E709C" w:rsidRDefault="009E709C" w:rsidP="009E709C">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pPr>
              <w:rPr>
                <w:b/>
              </w:rPr>
            </w:pPr>
            <w:r>
              <w:t>June 2024</w:t>
            </w:r>
          </w:p>
        </w:tc>
      </w:tr>
    </w:tbl>
    <w:p w:rsidR="009E709C" w:rsidRDefault="009E709C" w:rsidP="009E709C"/>
    <w:p w:rsidR="009E709C" w:rsidRDefault="009E709C" w:rsidP="009E709C">
      <w:pPr>
        <w:pStyle w:val="Heading3"/>
      </w:pPr>
      <w:r>
        <w:t>Equity</w:t>
      </w:r>
    </w:p>
    <w:tbl>
      <w:tblPr>
        <w:tblStyle w:val="TableGrid"/>
        <w:tblW w:w="14879" w:type="dxa"/>
        <w:tblLook w:val="04A0" w:firstRow="1" w:lastRow="0" w:firstColumn="1" w:lastColumn="0" w:noHBand="0" w:noVBand="1"/>
      </w:tblPr>
      <w:tblGrid>
        <w:gridCol w:w="10910"/>
        <w:gridCol w:w="2242"/>
        <w:gridCol w:w="1727"/>
      </w:tblGrid>
      <w:tr w:rsidR="009E709C" w:rsidTr="00215A02">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pPr>
              <w:ind w:left="203"/>
              <w:jc w:val="center"/>
              <w:rPr>
                <w:b/>
              </w:rPr>
            </w:pPr>
            <w:r>
              <w:rPr>
                <w:b/>
              </w:rPr>
              <w:t>Actions Required to Achieve Outcome</w:t>
            </w:r>
          </w:p>
          <w:p w:rsidR="009E709C" w:rsidRDefault="009E709C">
            <w:pPr>
              <w:ind w:left="203"/>
              <w:jc w:val="center"/>
            </w:pP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9E709C">
            <w:pPr>
              <w:ind w:left="413"/>
              <w:jc w:val="center"/>
            </w:pPr>
            <w:r>
              <w:rPr>
                <w:b/>
              </w:rPr>
              <w:t>Responsibility</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pPr>
              <w:ind w:left="517"/>
              <w:jc w:val="center"/>
            </w:pPr>
            <w:r>
              <w:rPr>
                <w:b/>
              </w:rPr>
              <w:t>Timescales</w:t>
            </w:r>
          </w:p>
        </w:tc>
      </w:tr>
      <w:tr w:rsidR="009E709C" w:rsidTr="00215A02">
        <w:trPr>
          <w:trHeight w:val="796"/>
        </w:trPr>
        <w:tc>
          <w:tcPr>
            <w:tcW w:w="10910" w:type="dxa"/>
            <w:tcBorders>
              <w:top w:val="single" w:sz="4" w:space="0" w:color="auto"/>
              <w:left w:val="single" w:sz="4" w:space="0" w:color="auto"/>
              <w:bottom w:val="single" w:sz="4" w:space="0" w:color="auto"/>
              <w:right w:val="single" w:sz="4" w:space="0" w:color="auto"/>
            </w:tcBorders>
            <w:hideMark/>
          </w:tcPr>
          <w:p w:rsidR="009E709C" w:rsidRDefault="009E709C">
            <w:pPr>
              <w:spacing w:after="57"/>
              <w:ind w:right="73"/>
            </w:pPr>
            <w:proofErr w:type="gramStart"/>
            <w:r>
              <w:t xml:space="preserve">Learning Settings to fully consider and undertake actions aligned to the Scottish Government’s </w:t>
            </w:r>
            <w:r>
              <w:rPr>
                <w:u w:val="single" w:color="0563C1"/>
              </w:rPr>
              <w:t>Child Poverty</w:t>
            </w:r>
            <w:r>
              <w:t xml:space="preserve"> Plan “Every Child, Every Chance” and evaluate the impact of such actions.</w:t>
            </w:r>
            <w:proofErr w:type="gramEnd"/>
            <w:r w:rsidR="00BC696C">
              <w:t xml:space="preserve"> </w:t>
            </w:r>
            <w:r w:rsidR="00BC696C">
              <w:rPr>
                <w:rStyle w:val="Hyperlink"/>
                <w:rFonts w:cstheme="minorHAnsi"/>
                <w:bCs/>
                <w:color w:val="auto"/>
                <w:u w:val="none"/>
              </w:rPr>
              <w:t>Focusing on equity for learners.</w:t>
            </w:r>
          </w:p>
        </w:tc>
        <w:tc>
          <w:tcPr>
            <w:tcW w:w="2242" w:type="dxa"/>
            <w:tcBorders>
              <w:top w:val="single" w:sz="4" w:space="0" w:color="auto"/>
              <w:left w:val="single" w:sz="4" w:space="0" w:color="auto"/>
              <w:bottom w:val="single" w:sz="4" w:space="0" w:color="auto"/>
              <w:right w:val="single" w:sz="4" w:space="0" w:color="auto"/>
            </w:tcBorders>
            <w:hideMark/>
          </w:tcPr>
          <w:p w:rsidR="009E709C" w:rsidRDefault="009E709C" w:rsidP="009E709C">
            <w:pPr>
              <w:numPr>
                <w:ilvl w:val="0"/>
                <w:numId w:val="7"/>
              </w:numPr>
              <w:spacing w:line="254" w:lineRule="auto"/>
            </w:pPr>
            <w:r>
              <w:t xml:space="preserve">All Heads </w:t>
            </w:r>
          </w:p>
          <w:p w:rsidR="009E709C" w:rsidRDefault="009E709C" w:rsidP="009E709C">
            <w:pPr>
              <w:numPr>
                <w:ilvl w:val="0"/>
                <w:numId w:val="7"/>
              </w:numPr>
              <w:spacing w:line="254" w:lineRule="auto"/>
            </w:pPr>
            <w:r>
              <w:rPr>
                <w:b/>
              </w:rPr>
              <w:t xml:space="preserve">C O’Neil </w:t>
            </w:r>
          </w:p>
        </w:tc>
        <w:tc>
          <w:tcPr>
            <w:tcW w:w="1727" w:type="dxa"/>
            <w:tcBorders>
              <w:top w:val="single" w:sz="4" w:space="0" w:color="auto"/>
              <w:left w:val="single" w:sz="4" w:space="0" w:color="auto"/>
              <w:bottom w:val="single" w:sz="4" w:space="0" w:color="auto"/>
              <w:right w:val="single" w:sz="4" w:space="0" w:color="auto"/>
            </w:tcBorders>
            <w:hideMark/>
          </w:tcPr>
          <w:p w:rsidR="009E709C" w:rsidRDefault="009E709C">
            <w:r>
              <w:t>Each school session for the duration of the plan</w:t>
            </w:r>
            <w:r>
              <w:rPr>
                <w:color w:val="FF0000"/>
              </w:rPr>
              <w:t xml:space="preserve"> </w:t>
            </w:r>
          </w:p>
        </w:tc>
      </w:tr>
      <w:tr w:rsidR="009E709C" w:rsidTr="00215A02">
        <w:tc>
          <w:tcPr>
            <w:tcW w:w="10910" w:type="dxa"/>
            <w:tcBorders>
              <w:top w:val="single" w:sz="4" w:space="0" w:color="auto"/>
              <w:left w:val="single" w:sz="4" w:space="0" w:color="auto"/>
              <w:bottom w:val="single" w:sz="4" w:space="0" w:color="auto"/>
              <w:right w:val="single" w:sz="4" w:space="0" w:color="auto"/>
            </w:tcBorders>
            <w:hideMark/>
          </w:tcPr>
          <w:p w:rsidR="009E709C" w:rsidRDefault="00607E8E">
            <w:r>
              <w:t>Practitioners</w:t>
            </w:r>
            <w:r w:rsidR="009E709C">
              <w:t xml:space="preserve"> to undert</w:t>
            </w:r>
            <w:r>
              <w:t xml:space="preserve">ake the </w:t>
            </w:r>
            <w:proofErr w:type="spellStart"/>
            <w:r>
              <w:t>CoSD</w:t>
            </w:r>
            <w:proofErr w:type="spellEnd"/>
            <w:r>
              <w:t xml:space="preserve"> e-learning module to enhance knowledge and focus on equity and reducing the poverty related attainment gap.  </w:t>
            </w:r>
            <w:hyperlink r:id="rId5" w:history="1">
              <w:r w:rsidR="009E709C">
                <w:rPr>
                  <w:rStyle w:val="Hyperlink"/>
                </w:rPr>
                <w:t>https://cpag.org.uk/cost-school-day-elearning-course</w:t>
              </w:r>
            </w:hyperlink>
          </w:p>
        </w:tc>
        <w:tc>
          <w:tcPr>
            <w:tcW w:w="2242" w:type="dxa"/>
            <w:tcBorders>
              <w:top w:val="single" w:sz="4" w:space="0" w:color="auto"/>
              <w:left w:val="single" w:sz="4" w:space="0" w:color="auto"/>
              <w:bottom w:val="single" w:sz="4" w:space="0" w:color="auto"/>
              <w:right w:val="single" w:sz="4" w:space="0" w:color="auto"/>
            </w:tcBorders>
            <w:hideMark/>
          </w:tcPr>
          <w:p w:rsidR="009E709C" w:rsidRDefault="009E709C" w:rsidP="009E709C">
            <w:pPr>
              <w:numPr>
                <w:ilvl w:val="0"/>
                <w:numId w:val="7"/>
              </w:numPr>
              <w:spacing w:line="254" w:lineRule="auto"/>
            </w:pPr>
            <w:r>
              <w:t>All Heads</w:t>
            </w:r>
          </w:p>
          <w:p w:rsidR="009E709C" w:rsidRDefault="009E709C" w:rsidP="009E709C">
            <w:pPr>
              <w:numPr>
                <w:ilvl w:val="0"/>
                <w:numId w:val="7"/>
              </w:numPr>
              <w:spacing w:line="254" w:lineRule="auto"/>
            </w:pPr>
            <w:r>
              <w:t xml:space="preserve">All staff </w:t>
            </w:r>
          </w:p>
          <w:p w:rsidR="009E709C" w:rsidRDefault="009E709C" w:rsidP="009E709C">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hideMark/>
          </w:tcPr>
          <w:p w:rsidR="009E709C" w:rsidRDefault="009E709C">
            <w:r>
              <w:t>June 2024</w:t>
            </w:r>
          </w:p>
        </w:tc>
      </w:tr>
      <w:tr w:rsidR="009E709C" w:rsidTr="00215A02">
        <w:tc>
          <w:tcPr>
            <w:tcW w:w="10910" w:type="dxa"/>
            <w:tcBorders>
              <w:top w:val="single" w:sz="4" w:space="0" w:color="auto"/>
              <w:left w:val="single" w:sz="4" w:space="0" w:color="auto"/>
              <w:bottom w:val="single" w:sz="4" w:space="0" w:color="auto"/>
              <w:right w:val="single" w:sz="4" w:space="0" w:color="auto"/>
            </w:tcBorders>
            <w:hideMark/>
          </w:tcPr>
          <w:p w:rsidR="009E709C" w:rsidRDefault="009E709C">
            <w:r>
              <w:lastRenderedPageBreak/>
              <w:t xml:space="preserve">All learning settings to work with their Financial Inclusion Worker to maximise income for families. </w:t>
            </w:r>
          </w:p>
        </w:tc>
        <w:tc>
          <w:tcPr>
            <w:tcW w:w="2242" w:type="dxa"/>
            <w:tcBorders>
              <w:top w:val="single" w:sz="4" w:space="0" w:color="auto"/>
              <w:left w:val="single" w:sz="4" w:space="0" w:color="auto"/>
              <w:bottom w:val="single" w:sz="4" w:space="0" w:color="auto"/>
              <w:right w:val="single" w:sz="4" w:space="0" w:color="auto"/>
            </w:tcBorders>
            <w:hideMark/>
          </w:tcPr>
          <w:p w:rsidR="009E709C" w:rsidRDefault="009E709C" w:rsidP="009E709C">
            <w:pPr>
              <w:numPr>
                <w:ilvl w:val="0"/>
                <w:numId w:val="7"/>
              </w:numPr>
              <w:spacing w:line="254" w:lineRule="auto"/>
            </w:pPr>
            <w:r>
              <w:t>All Heads</w:t>
            </w:r>
          </w:p>
          <w:p w:rsidR="009E709C" w:rsidRDefault="009E709C" w:rsidP="009E709C">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hideMark/>
          </w:tcPr>
          <w:p w:rsidR="009E709C" w:rsidRDefault="009E709C">
            <w:r>
              <w:t>Each school session for the duration of the plan</w:t>
            </w:r>
          </w:p>
        </w:tc>
      </w:tr>
    </w:tbl>
    <w:p w:rsidR="007154C4" w:rsidRDefault="007154C4" w:rsidP="009B6939">
      <w:pPr>
        <w:pStyle w:val="Heading2"/>
      </w:pPr>
    </w:p>
    <w:p w:rsidR="007154C4" w:rsidRDefault="007154C4" w:rsidP="009B6939">
      <w:pPr>
        <w:pStyle w:val="Heading2"/>
      </w:pPr>
    </w:p>
    <w:p w:rsidR="009B6939" w:rsidRDefault="009B6939" w:rsidP="009B6939">
      <w:pPr>
        <w:pStyle w:val="Heading2"/>
      </w:pPr>
      <w:r>
        <w:t>HWB</w:t>
      </w:r>
    </w:p>
    <w:tbl>
      <w:tblPr>
        <w:tblStyle w:val="TableGrid"/>
        <w:tblW w:w="14879" w:type="dxa"/>
        <w:tblLook w:val="04A0" w:firstRow="1" w:lastRow="0" w:firstColumn="1" w:lastColumn="0" w:noHBand="0" w:noVBand="1"/>
      </w:tblPr>
      <w:tblGrid>
        <w:gridCol w:w="10910"/>
        <w:gridCol w:w="2242"/>
        <w:gridCol w:w="1727"/>
      </w:tblGrid>
      <w:tr w:rsidR="009E709C" w:rsidTr="00215A02">
        <w:tc>
          <w:tcPr>
            <w:tcW w:w="10910"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195997">
            <w:pPr>
              <w:ind w:left="203"/>
              <w:jc w:val="center"/>
            </w:pPr>
            <w:r>
              <w:rPr>
                <w:b/>
              </w:rPr>
              <w:t>Actions Required to Achieve Outcome</w:t>
            </w:r>
          </w:p>
        </w:tc>
        <w:tc>
          <w:tcPr>
            <w:tcW w:w="2242"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195997">
            <w:pPr>
              <w:ind w:left="413"/>
              <w:jc w:val="center"/>
            </w:pPr>
            <w:r>
              <w:rPr>
                <w:b/>
              </w:rPr>
              <w:t>Responsibility</w:t>
            </w:r>
          </w:p>
        </w:tc>
        <w:tc>
          <w:tcPr>
            <w:tcW w:w="1727" w:type="dxa"/>
            <w:tcBorders>
              <w:top w:val="single" w:sz="4" w:space="0" w:color="auto"/>
              <w:left w:val="single" w:sz="4" w:space="0" w:color="auto"/>
              <w:bottom w:val="single" w:sz="4" w:space="0" w:color="auto"/>
              <w:right w:val="single" w:sz="4" w:space="0" w:color="auto"/>
            </w:tcBorders>
            <w:vAlign w:val="center"/>
            <w:hideMark/>
          </w:tcPr>
          <w:p w:rsidR="009E709C" w:rsidRDefault="009E709C" w:rsidP="00195997">
            <w:pPr>
              <w:ind w:left="517"/>
              <w:jc w:val="center"/>
            </w:pPr>
            <w:r>
              <w:rPr>
                <w:b/>
              </w:rPr>
              <w:t>Timescales</w:t>
            </w:r>
          </w:p>
        </w:tc>
      </w:tr>
      <w:tr w:rsidR="00BE2CD7" w:rsidTr="00215A02">
        <w:tc>
          <w:tcPr>
            <w:tcW w:w="10910" w:type="dxa"/>
            <w:tcBorders>
              <w:top w:val="single" w:sz="4" w:space="0" w:color="auto"/>
              <w:left w:val="single" w:sz="4" w:space="0" w:color="auto"/>
              <w:bottom w:val="single" w:sz="4" w:space="0" w:color="auto"/>
              <w:right w:val="single" w:sz="4" w:space="0" w:color="auto"/>
            </w:tcBorders>
            <w:vAlign w:val="center"/>
          </w:tcPr>
          <w:p w:rsidR="00BE2CD7" w:rsidRDefault="00BE2CD7" w:rsidP="00BE2CD7">
            <w:pPr>
              <w:rPr>
                <w:b/>
              </w:rPr>
            </w:pPr>
            <w:r w:rsidRPr="0077441F">
              <w:rPr>
                <w:rFonts w:cstheme="minorHAnsi"/>
                <w:bCs/>
              </w:rPr>
              <w:t xml:space="preserve">In order to generate </w:t>
            </w:r>
            <w:r>
              <w:rPr>
                <w:rFonts w:cstheme="minorHAnsi"/>
                <w:bCs/>
              </w:rPr>
              <w:t xml:space="preserve">sustained focus </w:t>
            </w:r>
            <w:r w:rsidRPr="0077441F">
              <w:rPr>
                <w:rFonts w:cstheme="minorHAnsi"/>
              </w:rPr>
              <w:t>and</w:t>
            </w:r>
            <w:r>
              <w:rPr>
                <w:rFonts w:cstheme="minorHAnsi"/>
              </w:rPr>
              <w:t xml:space="preserve"> </w:t>
            </w:r>
            <w:r w:rsidRPr="0077441F">
              <w:rPr>
                <w:rFonts w:cstheme="minorHAnsi"/>
              </w:rPr>
              <w:t>accelerated progress in</w:t>
            </w:r>
            <w:r w:rsidRPr="0077441F">
              <w:rPr>
                <w:rFonts w:cstheme="minorHAnsi"/>
                <w:color w:val="002060"/>
              </w:rPr>
              <w:t xml:space="preserve"> health and wellbeing</w:t>
            </w:r>
            <w:r>
              <w:rPr>
                <w:rFonts w:cstheme="minorHAnsi"/>
                <w:color w:val="002060"/>
              </w:rPr>
              <w:t xml:space="preserve"> and ensure pupils are ready to learn </w:t>
            </w:r>
            <w:r w:rsidRPr="0077441F">
              <w:rPr>
                <w:rFonts w:cstheme="minorHAnsi"/>
                <w:color w:val="002060"/>
              </w:rPr>
              <w:t>c</w:t>
            </w:r>
            <w:r>
              <w:rPr>
                <w:rFonts w:cstheme="minorHAnsi"/>
                <w:bCs/>
              </w:rPr>
              <w:t>ontinue</w:t>
            </w:r>
            <w:r w:rsidRPr="0077441F">
              <w:rPr>
                <w:rFonts w:cstheme="minorHAnsi"/>
                <w:bCs/>
              </w:rPr>
              <w:t xml:space="preserve"> to develop </w:t>
            </w:r>
            <w:r>
              <w:rPr>
                <w:rFonts w:cstheme="minorHAnsi"/>
                <w:bCs/>
              </w:rPr>
              <w:t xml:space="preserve">evidenced based </w:t>
            </w:r>
            <w:r w:rsidRPr="0077441F">
              <w:rPr>
                <w:rFonts w:cstheme="minorHAnsi"/>
                <w:bCs/>
              </w:rPr>
              <w:t xml:space="preserve">procedures to monitor, track and support pupil wellbeing (NIF 2023) building on the outcomes of 2022/2023 GLOW pathfinder exercises. </w:t>
            </w:r>
            <w:r>
              <w:rPr>
                <w:rFonts w:cstheme="minorHAnsi"/>
                <w:bCs/>
              </w:rPr>
              <w:t xml:space="preserve">Meaningful engaging the </w:t>
            </w:r>
            <w:proofErr w:type="gramStart"/>
            <w:r>
              <w:rPr>
                <w:rFonts w:cstheme="minorHAnsi"/>
                <w:bCs/>
              </w:rPr>
              <w:t>children and young people</w:t>
            </w:r>
            <w:proofErr w:type="gramEnd"/>
            <w:r>
              <w:rPr>
                <w:rFonts w:cstheme="minorHAnsi"/>
                <w:bCs/>
              </w:rPr>
              <w:t xml:space="preserve"> and their families in their learner journey.</w:t>
            </w:r>
          </w:p>
        </w:tc>
        <w:tc>
          <w:tcPr>
            <w:tcW w:w="2242" w:type="dxa"/>
            <w:tcBorders>
              <w:top w:val="single" w:sz="4" w:space="0" w:color="auto"/>
              <w:left w:val="single" w:sz="4" w:space="0" w:color="auto"/>
              <w:bottom w:val="single" w:sz="4" w:space="0" w:color="auto"/>
              <w:right w:val="single" w:sz="4" w:space="0" w:color="auto"/>
            </w:tcBorders>
            <w:vAlign w:val="center"/>
          </w:tcPr>
          <w:p w:rsidR="00BE2CD7" w:rsidRDefault="00BE2CD7" w:rsidP="00BE2CD7">
            <w:pPr>
              <w:numPr>
                <w:ilvl w:val="0"/>
                <w:numId w:val="7"/>
              </w:numPr>
              <w:spacing w:line="254" w:lineRule="auto"/>
            </w:pPr>
            <w:r>
              <w:t>PTPS</w:t>
            </w:r>
          </w:p>
          <w:p w:rsidR="00BE2CD7" w:rsidRDefault="00BE2CD7" w:rsidP="00BE2CD7">
            <w:pPr>
              <w:numPr>
                <w:ilvl w:val="0"/>
                <w:numId w:val="7"/>
              </w:numPr>
              <w:spacing w:line="254" w:lineRule="auto"/>
            </w:pPr>
            <w:r>
              <w:t xml:space="preserve">HWB Champions </w:t>
            </w:r>
          </w:p>
          <w:p w:rsidR="00BE2CD7" w:rsidRDefault="00BE2CD7" w:rsidP="00BE2CD7">
            <w:pPr>
              <w:numPr>
                <w:ilvl w:val="0"/>
                <w:numId w:val="7"/>
              </w:numPr>
              <w:spacing w:line="254" w:lineRule="auto"/>
            </w:pPr>
            <w:r>
              <w:t>Teaching staff</w:t>
            </w:r>
          </w:p>
          <w:p w:rsidR="00BE2CD7" w:rsidRDefault="00BE2CD7" w:rsidP="00BE2CD7">
            <w:pPr>
              <w:numPr>
                <w:ilvl w:val="0"/>
                <w:numId w:val="7"/>
              </w:numPr>
              <w:spacing w:line="254" w:lineRule="auto"/>
            </w:pPr>
            <w:r>
              <w:t xml:space="preserve">All Heads </w:t>
            </w:r>
          </w:p>
          <w:p w:rsidR="00BE2CD7" w:rsidRDefault="00BE2CD7" w:rsidP="00BE2CD7">
            <w:pPr>
              <w:ind w:left="413"/>
              <w:jc w:val="center"/>
              <w:rPr>
                <w:b/>
              </w:rPr>
            </w:pPr>
            <w:r>
              <w:rPr>
                <w:b/>
              </w:rPr>
              <w:t>C O’Neil</w:t>
            </w:r>
          </w:p>
        </w:tc>
        <w:tc>
          <w:tcPr>
            <w:tcW w:w="1727" w:type="dxa"/>
            <w:tcBorders>
              <w:top w:val="single" w:sz="4" w:space="0" w:color="auto"/>
              <w:left w:val="single" w:sz="4" w:space="0" w:color="auto"/>
              <w:bottom w:val="single" w:sz="4" w:space="0" w:color="auto"/>
              <w:right w:val="single" w:sz="4" w:space="0" w:color="auto"/>
            </w:tcBorders>
            <w:vAlign w:val="center"/>
          </w:tcPr>
          <w:p w:rsidR="00BE2CD7" w:rsidRDefault="00BE2CD7" w:rsidP="00195997">
            <w:pPr>
              <w:ind w:left="517"/>
              <w:jc w:val="center"/>
              <w:rPr>
                <w:b/>
              </w:rPr>
            </w:pPr>
          </w:p>
        </w:tc>
      </w:tr>
      <w:tr w:rsidR="00BE2CD7" w:rsidTr="00215A02">
        <w:tc>
          <w:tcPr>
            <w:tcW w:w="10910" w:type="dxa"/>
            <w:tcBorders>
              <w:top w:val="single" w:sz="4" w:space="0" w:color="auto"/>
              <w:left w:val="single" w:sz="4" w:space="0" w:color="auto"/>
              <w:bottom w:val="single" w:sz="4" w:space="0" w:color="auto"/>
              <w:right w:val="single" w:sz="4" w:space="0" w:color="auto"/>
            </w:tcBorders>
            <w:vAlign w:val="center"/>
          </w:tcPr>
          <w:p w:rsidR="00BE2CD7" w:rsidRDefault="00BE2CD7" w:rsidP="00BE2CD7">
            <w:pPr>
              <w:pStyle w:val="NormalWeb"/>
              <w:shd w:val="clear" w:color="auto" w:fill="FFFFFF"/>
              <w:spacing w:before="0" w:beforeAutospacing="0" w:after="0" w:afterAutospacing="0"/>
              <w:rPr>
                <w:rFonts w:asciiTheme="minorHAnsi" w:hAnsiTheme="minorHAnsi" w:cs="Arial"/>
                <w:b/>
                <w:bCs/>
              </w:rPr>
            </w:pPr>
            <w:r>
              <w:rPr>
                <w:rFonts w:asciiTheme="minorHAnsi" w:hAnsiTheme="minorHAnsi" w:cs="Arial"/>
                <w:b/>
                <w:bCs/>
              </w:rPr>
              <w:t>Mental Health</w:t>
            </w:r>
          </w:p>
          <w:p w:rsidR="00BE2CD7" w:rsidRDefault="00BE2CD7" w:rsidP="00BE2CD7">
            <w:pPr>
              <w:pStyle w:val="NormalWeb"/>
              <w:shd w:val="clear" w:color="auto" w:fill="FFFFFF"/>
              <w:spacing w:before="0" w:beforeAutospacing="0" w:after="0" w:afterAutospacing="0"/>
              <w:rPr>
                <w:rFonts w:ascii="Calibri" w:hAnsi="Calibri" w:cs="Calibri"/>
                <w:color w:val="212121"/>
                <w:sz w:val="23"/>
                <w:szCs w:val="23"/>
              </w:rPr>
            </w:pPr>
            <w:r>
              <w:rPr>
                <w:rFonts w:asciiTheme="minorHAnsi" w:hAnsiTheme="minorHAnsi" w:cs="Arial"/>
                <w:b/>
                <w:bCs/>
              </w:rPr>
              <w:t>a</w:t>
            </w:r>
            <w:r w:rsidRPr="008C16BE">
              <w:rPr>
                <w:rFonts w:asciiTheme="minorHAnsi" w:hAnsiTheme="minorHAnsi" w:cs="Arial"/>
                <w:bCs/>
              </w:rPr>
              <w:t xml:space="preserve">. </w:t>
            </w:r>
            <w:r>
              <w:rPr>
                <w:rFonts w:asciiTheme="minorHAnsi" w:hAnsiTheme="minorHAnsi" w:cs="Arial"/>
                <w:bCs/>
              </w:rPr>
              <w:t>Provide</w:t>
            </w:r>
            <w:r w:rsidRPr="008C16BE">
              <w:rPr>
                <w:rFonts w:asciiTheme="minorHAnsi" w:hAnsiTheme="minorHAnsi" w:cs="Arial"/>
                <w:bCs/>
              </w:rPr>
              <w:t xml:space="preserve"> improvement support in</w:t>
            </w:r>
            <w:r w:rsidRPr="008C16BE">
              <w:rPr>
                <w:rFonts w:ascii="Calibri" w:hAnsi="Calibri" w:cs="Calibri"/>
                <w:color w:val="212121"/>
                <w:sz w:val="23"/>
                <w:szCs w:val="23"/>
              </w:rPr>
              <w:t xml:space="preserve"> Mental Health (NIF 2023) utilising the </w:t>
            </w:r>
            <w:hyperlink r:id="rId6" w:history="1">
              <w:r w:rsidRPr="008C16BE">
                <w:rPr>
                  <w:rStyle w:val="Hyperlink"/>
                  <w:rFonts w:ascii="Calibri" w:hAnsi="Calibri" w:cs="Calibri"/>
                  <w:color w:val="008272"/>
                  <w:sz w:val="23"/>
                  <w:szCs w:val="23"/>
                </w:rPr>
                <w:t>Mental Health a Whole School Approach Framework</w:t>
              </w:r>
            </w:hyperlink>
            <w:r w:rsidRPr="008C16BE">
              <w:rPr>
                <w:rStyle w:val="Hyperlink"/>
                <w:rFonts w:ascii="Calibri" w:hAnsi="Calibri" w:cs="Calibri"/>
                <w:color w:val="008272"/>
                <w:sz w:val="23"/>
                <w:szCs w:val="23"/>
              </w:rPr>
              <w:t xml:space="preserve"> </w:t>
            </w:r>
            <w:r w:rsidRPr="008C16BE">
              <w:rPr>
                <w:rFonts w:ascii="Calibri" w:hAnsi="Calibri" w:cs="Calibri"/>
                <w:color w:val="212121"/>
                <w:sz w:val="23"/>
                <w:szCs w:val="23"/>
              </w:rPr>
              <w:t xml:space="preserve">the </w:t>
            </w:r>
            <w:r w:rsidRPr="008C16BE">
              <w:rPr>
                <w:rStyle w:val="Strong"/>
                <w:rFonts w:ascii="Calibri" w:eastAsiaTheme="majorEastAsia" w:hAnsi="Calibri" w:cs="Calibri"/>
                <w:b w:val="0"/>
                <w:color w:val="212121"/>
                <w:sz w:val="23"/>
                <w:szCs w:val="23"/>
              </w:rPr>
              <w:t>whole</w:t>
            </w:r>
            <w:r w:rsidRPr="008C16BE">
              <w:rPr>
                <w:rFonts w:ascii="Calibri" w:hAnsi="Calibri" w:cs="Calibri"/>
                <w:color w:val="212121"/>
                <w:sz w:val="23"/>
                <w:szCs w:val="23"/>
              </w:rPr>
              <w:t xml:space="preserve"> school / community self-evaluation</w:t>
            </w:r>
            <w:r>
              <w:rPr>
                <w:rFonts w:ascii="Calibri" w:hAnsi="Calibri" w:cs="Calibri"/>
                <w:color w:val="212121"/>
                <w:sz w:val="23"/>
                <w:szCs w:val="23"/>
              </w:rPr>
              <w:t xml:space="preserve"> (meaningfully engaging with pupils and parents)</w:t>
            </w:r>
            <w:r w:rsidRPr="008C16BE">
              <w:rPr>
                <w:rFonts w:ascii="Calibri" w:hAnsi="Calibri" w:cs="Calibri"/>
                <w:color w:val="212121"/>
                <w:sz w:val="23"/>
                <w:szCs w:val="23"/>
              </w:rPr>
              <w:t xml:space="preserve"> tool to </w:t>
            </w:r>
            <w:r>
              <w:rPr>
                <w:rFonts w:ascii="Calibri" w:hAnsi="Calibri" w:cs="Calibri"/>
                <w:color w:val="212121"/>
                <w:sz w:val="23"/>
                <w:szCs w:val="23"/>
              </w:rPr>
              <w:t xml:space="preserve">generate focus and identify key priorities. </w:t>
            </w:r>
          </w:p>
          <w:p w:rsidR="00BE2CD7" w:rsidRPr="008C16BE" w:rsidRDefault="00BE2CD7" w:rsidP="00BE2CD7">
            <w:pPr>
              <w:pStyle w:val="NormalWeb"/>
              <w:shd w:val="clear" w:color="auto" w:fill="FFFFFF"/>
              <w:spacing w:before="0" w:beforeAutospacing="0" w:after="0" w:afterAutospacing="0"/>
              <w:rPr>
                <w:rFonts w:ascii="Calibri" w:hAnsi="Calibri" w:cs="Calibri"/>
                <w:color w:val="212121"/>
                <w:sz w:val="23"/>
                <w:szCs w:val="23"/>
              </w:rPr>
            </w:pPr>
            <w:r w:rsidRPr="008C16BE">
              <w:rPr>
                <w:rFonts w:ascii="Calibri" w:hAnsi="Calibri" w:cs="Calibri"/>
                <w:color w:val="212121"/>
                <w:sz w:val="23"/>
                <w:szCs w:val="23"/>
              </w:rPr>
              <w:t xml:space="preserve"> </w:t>
            </w:r>
          </w:p>
          <w:p w:rsidR="00BE2CD7" w:rsidRPr="008C16BE" w:rsidRDefault="00BE2CD7" w:rsidP="00BE2CD7">
            <w:pPr>
              <w:pStyle w:val="NormalWeb"/>
              <w:shd w:val="clear" w:color="auto" w:fill="FFFFFF"/>
              <w:spacing w:before="0" w:beforeAutospacing="0" w:after="0" w:afterAutospacing="0"/>
              <w:rPr>
                <w:rFonts w:ascii="Calibri" w:hAnsi="Calibri" w:cs="Calibri"/>
                <w:b/>
                <w:color w:val="212121"/>
                <w:sz w:val="23"/>
                <w:szCs w:val="23"/>
              </w:rPr>
            </w:pPr>
            <w:r w:rsidRPr="008C16BE">
              <w:rPr>
                <w:rFonts w:ascii="Calibri" w:hAnsi="Calibri" w:cs="Calibri"/>
                <w:color w:val="212121"/>
                <w:sz w:val="23"/>
                <w:szCs w:val="23"/>
              </w:rPr>
              <w:t xml:space="preserve">b. </w:t>
            </w:r>
            <w:r w:rsidRPr="00607E8E">
              <w:rPr>
                <w:rFonts w:ascii="Calibri" w:hAnsi="Calibri" w:cs="Calibri"/>
                <w:color w:val="212121"/>
                <w:sz w:val="23"/>
                <w:szCs w:val="23"/>
              </w:rPr>
              <w:t>Cont</w:t>
            </w:r>
            <w:r>
              <w:rPr>
                <w:rFonts w:ascii="Calibri" w:hAnsi="Calibri" w:cs="Calibri"/>
                <w:color w:val="212121"/>
                <w:sz w:val="23"/>
                <w:szCs w:val="23"/>
              </w:rPr>
              <w:t xml:space="preserve">inue to develop the </w:t>
            </w:r>
            <w:r w:rsidRPr="00607E8E">
              <w:rPr>
                <w:rStyle w:val="Strong"/>
                <w:rFonts w:ascii="Calibri" w:eastAsiaTheme="majorEastAsia" w:hAnsi="Calibri" w:cs="Calibri"/>
                <w:color w:val="212121"/>
                <w:sz w:val="23"/>
                <w:szCs w:val="23"/>
              </w:rPr>
              <w:t>HWB Champions Network</w:t>
            </w:r>
            <w:r>
              <w:rPr>
                <w:rFonts w:ascii="Calibri" w:hAnsi="Calibri" w:cs="Calibri"/>
                <w:color w:val="212121"/>
                <w:sz w:val="23"/>
                <w:szCs w:val="23"/>
              </w:rPr>
              <w:t xml:space="preserve"> to improve outcomes and engage</w:t>
            </w:r>
            <w:r w:rsidRPr="00607E8E">
              <w:rPr>
                <w:rFonts w:ascii="Calibri" w:hAnsi="Calibri" w:cs="Calibri"/>
                <w:color w:val="212121"/>
                <w:sz w:val="23"/>
                <w:szCs w:val="23"/>
              </w:rPr>
              <w:t>ment for staff and pupils</w:t>
            </w:r>
            <w:r>
              <w:rPr>
                <w:rFonts w:ascii="Calibri" w:hAnsi="Calibri" w:cs="Calibri"/>
                <w:b/>
                <w:color w:val="212121"/>
                <w:sz w:val="23"/>
                <w:szCs w:val="23"/>
              </w:rPr>
              <w:t xml:space="preserve">. </w:t>
            </w:r>
          </w:p>
          <w:p w:rsidR="00BE2CD7" w:rsidRPr="0077441F" w:rsidRDefault="00BE2CD7" w:rsidP="00BE2CD7">
            <w:pPr>
              <w:rPr>
                <w:rFonts w:cstheme="minorHAnsi"/>
                <w:bCs/>
              </w:rPr>
            </w:pPr>
          </w:p>
        </w:tc>
        <w:tc>
          <w:tcPr>
            <w:tcW w:w="2242" w:type="dxa"/>
            <w:tcBorders>
              <w:top w:val="single" w:sz="4" w:space="0" w:color="auto"/>
              <w:left w:val="single" w:sz="4" w:space="0" w:color="auto"/>
              <w:bottom w:val="single" w:sz="4" w:space="0" w:color="auto"/>
              <w:right w:val="single" w:sz="4" w:space="0" w:color="auto"/>
            </w:tcBorders>
          </w:tcPr>
          <w:p w:rsidR="00BE2CD7" w:rsidRDefault="00BE2CD7" w:rsidP="00BE2CD7">
            <w:pPr>
              <w:numPr>
                <w:ilvl w:val="0"/>
                <w:numId w:val="7"/>
              </w:numPr>
              <w:spacing w:line="254" w:lineRule="auto"/>
            </w:pPr>
            <w:r>
              <w:t>PTPS</w:t>
            </w:r>
          </w:p>
          <w:p w:rsidR="00BE2CD7" w:rsidRDefault="00BE2CD7" w:rsidP="00BE2CD7">
            <w:pPr>
              <w:numPr>
                <w:ilvl w:val="0"/>
                <w:numId w:val="7"/>
              </w:numPr>
              <w:spacing w:line="254" w:lineRule="auto"/>
            </w:pPr>
            <w:r>
              <w:t xml:space="preserve">HWB Champions / WBC </w:t>
            </w:r>
          </w:p>
          <w:p w:rsidR="00BE2CD7" w:rsidRDefault="00BE2CD7" w:rsidP="00BE2CD7">
            <w:pPr>
              <w:numPr>
                <w:ilvl w:val="0"/>
                <w:numId w:val="7"/>
              </w:numPr>
              <w:spacing w:line="254" w:lineRule="auto"/>
            </w:pPr>
            <w:r>
              <w:t>Teaching staff</w:t>
            </w:r>
          </w:p>
          <w:p w:rsidR="00BE2CD7" w:rsidRDefault="00BE2CD7" w:rsidP="00BE2CD7">
            <w:pPr>
              <w:numPr>
                <w:ilvl w:val="0"/>
                <w:numId w:val="7"/>
              </w:numPr>
              <w:spacing w:line="254" w:lineRule="auto"/>
            </w:pPr>
            <w:r>
              <w:t xml:space="preserve">All Heads </w:t>
            </w:r>
          </w:p>
          <w:p w:rsidR="00BE2CD7" w:rsidRDefault="00BE2CD7" w:rsidP="00BE2CD7">
            <w:pPr>
              <w:numPr>
                <w:ilvl w:val="0"/>
                <w:numId w:val="7"/>
              </w:numPr>
              <w:spacing w:line="254" w:lineRule="auto"/>
            </w:pPr>
            <w:r>
              <w:rPr>
                <w:b/>
              </w:rPr>
              <w:t>C O’Neil</w:t>
            </w:r>
          </w:p>
        </w:tc>
        <w:tc>
          <w:tcPr>
            <w:tcW w:w="1727" w:type="dxa"/>
            <w:tcBorders>
              <w:top w:val="single" w:sz="4" w:space="0" w:color="auto"/>
              <w:left w:val="single" w:sz="4" w:space="0" w:color="auto"/>
              <w:bottom w:val="single" w:sz="4" w:space="0" w:color="auto"/>
              <w:right w:val="single" w:sz="4" w:space="0" w:color="auto"/>
            </w:tcBorders>
            <w:vAlign w:val="center"/>
          </w:tcPr>
          <w:p w:rsidR="00BE2CD7" w:rsidRDefault="00BE2CD7" w:rsidP="00BE2CD7">
            <w:pPr>
              <w:ind w:left="517"/>
              <w:jc w:val="center"/>
              <w:rPr>
                <w:b/>
              </w:rPr>
            </w:pPr>
          </w:p>
        </w:tc>
      </w:tr>
      <w:tr w:rsidR="00BE2CD7" w:rsidTr="00215A02">
        <w:tc>
          <w:tcPr>
            <w:tcW w:w="10910" w:type="dxa"/>
            <w:tcBorders>
              <w:top w:val="single" w:sz="4" w:space="0" w:color="auto"/>
              <w:left w:val="single" w:sz="4" w:space="0" w:color="auto"/>
              <w:bottom w:val="single" w:sz="4" w:space="0" w:color="auto"/>
              <w:right w:val="single" w:sz="4" w:space="0" w:color="auto"/>
            </w:tcBorders>
            <w:hideMark/>
          </w:tcPr>
          <w:p w:rsidR="00BE2CD7" w:rsidRPr="0077441F" w:rsidRDefault="00BE2CD7" w:rsidP="00BE2CD7">
            <w:pPr>
              <w:pStyle w:val="NormalWeb"/>
              <w:shd w:val="clear" w:color="auto" w:fill="FFFFFF"/>
              <w:spacing w:before="0" w:beforeAutospacing="0" w:after="0" w:afterAutospacing="0"/>
              <w:rPr>
                <w:rStyle w:val="Hyperlink"/>
                <w:rFonts w:asciiTheme="minorHAnsi" w:hAnsiTheme="minorHAnsi" w:cstheme="minorHAnsi"/>
                <w:bCs/>
                <w:color w:val="auto"/>
                <w:sz w:val="22"/>
                <w:szCs w:val="22"/>
                <w:u w:val="none"/>
              </w:rPr>
            </w:pPr>
            <w:r w:rsidRPr="0077441F">
              <w:rPr>
                <w:rFonts w:asciiTheme="minorHAnsi" w:hAnsiTheme="minorHAnsi" w:cstheme="minorHAnsi"/>
                <w:color w:val="212121"/>
                <w:sz w:val="22"/>
                <w:szCs w:val="22"/>
              </w:rPr>
              <w:t>Embed the authority Planning, Learning, Teac</w:t>
            </w:r>
            <w:r>
              <w:rPr>
                <w:rFonts w:asciiTheme="minorHAnsi" w:hAnsiTheme="minorHAnsi" w:cstheme="minorHAnsi"/>
                <w:color w:val="212121"/>
                <w:sz w:val="22"/>
                <w:szCs w:val="22"/>
              </w:rPr>
              <w:t xml:space="preserve">hing and Assessment Guidance </w:t>
            </w:r>
            <w:r w:rsidRPr="0077441F">
              <w:rPr>
                <w:rFonts w:asciiTheme="minorHAnsi" w:hAnsiTheme="minorHAnsi" w:cstheme="minorHAnsi"/>
                <w:sz w:val="22"/>
                <w:szCs w:val="22"/>
              </w:rPr>
              <w:t>to ensure continual ambitious progress</w:t>
            </w:r>
            <w:r>
              <w:rPr>
                <w:rFonts w:asciiTheme="minorHAnsi" w:hAnsiTheme="minorHAnsi" w:cstheme="minorHAnsi"/>
                <w:color w:val="212121"/>
                <w:sz w:val="22"/>
                <w:szCs w:val="22"/>
              </w:rPr>
              <w:t xml:space="preserve">, inclusive practice </w:t>
            </w:r>
            <w:r w:rsidRPr="0077441F">
              <w:rPr>
                <w:rFonts w:asciiTheme="minorHAnsi" w:hAnsiTheme="minorHAnsi" w:cstheme="minorHAnsi"/>
                <w:color w:val="212121"/>
                <w:sz w:val="22"/>
                <w:szCs w:val="22"/>
              </w:rPr>
              <w:t xml:space="preserve">and </w:t>
            </w:r>
            <w:r>
              <w:rPr>
                <w:rFonts w:asciiTheme="minorHAnsi" w:hAnsiTheme="minorHAnsi" w:cstheme="minorHAnsi"/>
                <w:color w:val="212121"/>
                <w:sz w:val="22"/>
                <w:szCs w:val="22"/>
              </w:rPr>
              <w:t xml:space="preserve">to </w:t>
            </w:r>
            <w:r w:rsidRPr="0077441F">
              <w:rPr>
                <w:rFonts w:asciiTheme="minorHAnsi" w:hAnsiTheme="minorHAnsi" w:cstheme="minorHAnsi"/>
                <w:color w:val="212121"/>
                <w:sz w:val="22"/>
                <w:szCs w:val="22"/>
              </w:rPr>
              <w:t xml:space="preserve">validate teacher judgements of HWB levels. </w:t>
            </w:r>
            <w:hyperlink r:id="rId7" w:history="1">
              <w:r w:rsidRPr="0077441F">
                <w:rPr>
                  <w:rStyle w:val="Hyperlink"/>
                  <w:rFonts w:asciiTheme="minorHAnsi" w:hAnsiTheme="minorHAnsi" w:cstheme="minorHAnsi"/>
                  <w:b/>
                  <w:bCs/>
                  <w:color w:val="008272"/>
                  <w:sz w:val="22"/>
                  <w:szCs w:val="22"/>
                </w:rPr>
                <w:t>Progression Frameworks</w:t>
              </w:r>
            </w:hyperlink>
            <w:r w:rsidRPr="0077441F">
              <w:rPr>
                <w:rStyle w:val="Hyperlink"/>
                <w:rFonts w:asciiTheme="minorHAnsi" w:hAnsiTheme="minorHAnsi" w:cstheme="minorHAnsi"/>
                <w:b/>
                <w:bCs/>
                <w:color w:val="008272"/>
                <w:sz w:val="22"/>
                <w:szCs w:val="22"/>
              </w:rPr>
              <w:t xml:space="preserve">. </w:t>
            </w:r>
            <w:r w:rsidRPr="0077441F">
              <w:rPr>
                <w:rStyle w:val="Hyperlink"/>
                <w:rFonts w:asciiTheme="minorHAnsi" w:hAnsiTheme="minorHAnsi" w:cstheme="minorHAnsi"/>
                <w:bCs/>
                <w:color w:val="auto"/>
                <w:sz w:val="22"/>
                <w:szCs w:val="22"/>
                <w:u w:val="none"/>
              </w:rPr>
              <w:t xml:space="preserve">(Develop curriculum NIF 2023) </w:t>
            </w:r>
            <w:r>
              <w:rPr>
                <w:rStyle w:val="Hyperlink"/>
                <w:rFonts w:asciiTheme="minorHAnsi" w:hAnsiTheme="minorHAnsi" w:cstheme="minorHAnsi"/>
                <w:bCs/>
                <w:color w:val="auto"/>
                <w:sz w:val="22"/>
                <w:szCs w:val="22"/>
                <w:u w:val="none"/>
              </w:rPr>
              <w:t xml:space="preserve">Building evidence based programmes which meaningfully engaging pupils in curricular design and focusing on equity for learners. </w:t>
            </w:r>
          </w:p>
          <w:p w:rsidR="00BE2CD7" w:rsidRPr="00E849DC" w:rsidRDefault="00BE2CD7" w:rsidP="00BE2CD7">
            <w:pPr>
              <w:pStyle w:val="NormalWeb"/>
              <w:shd w:val="clear" w:color="auto" w:fill="FFFFFF"/>
              <w:spacing w:before="0" w:beforeAutospacing="0" w:after="0" w:afterAutospacing="0"/>
              <w:rPr>
                <w:rFonts w:ascii="Calibri" w:eastAsiaTheme="majorEastAsia" w:hAnsi="Calibri" w:cs="Calibri"/>
                <w:b/>
                <w:bCs/>
                <w:color w:val="212121"/>
                <w:sz w:val="23"/>
                <w:szCs w:val="23"/>
              </w:rPr>
            </w:pPr>
            <w:r>
              <w:rPr>
                <w:rStyle w:val="Strong"/>
                <w:rFonts w:ascii="Calibri" w:eastAsiaTheme="majorEastAsia" w:hAnsi="Calibri" w:cs="Calibri"/>
                <w:color w:val="212121"/>
                <w:sz w:val="23"/>
                <w:szCs w:val="23"/>
              </w:rPr>
              <w:t>Secondary</w:t>
            </w:r>
            <w:r>
              <w:rPr>
                <w:rFonts w:ascii="Calibri" w:hAnsi="Calibri" w:cs="Calibri"/>
                <w:color w:val="212121"/>
                <w:sz w:val="23"/>
                <w:szCs w:val="23"/>
              </w:rPr>
              <w:t xml:space="preserve"> - Look to maximising the opportunity to add qualifications to PSE provision and raise attainment / personal achievement.</w:t>
            </w:r>
          </w:p>
        </w:tc>
        <w:tc>
          <w:tcPr>
            <w:tcW w:w="2242" w:type="dxa"/>
            <w:tcBorders>
              <w:top w:val="single" w:sz="4" w:space="0" w:color="auto"/>
              <w:left w:val="single" w:sz="4" w:space="0" w:color="auto"/>
              <w:bottom w:val="single" w:sz="4" w:space="0" w:color="auto"/>
              <w:right w:val="single" w:sz="4" w:space="0" w:color="auto"/>
            </w:tcBorders>
            <w:hideMark/>
          </w:tcPr>
          <w:p w:rsidR="00BE2CD7" w:rsidRDefault="00BE2CD7" w:rsidP="00BE2CD7">
            <w:pPr>
              <w:numPr>
                <w:ilvl w:val="0"/>
                <w:numId w:val="7"/>
              </w:numPr>
              <w:spacing w:line="254" w:lineRule="auto"/>
            </w:pPr>
            <w:r>
              <w:rPr>
                <w:b/>
              </w:rPr>
              <w:t xml:space="preserve"> </w:t>
            </w:r>
            <w:r>
              <w:t>PTPS</w:t>
            </w:r>
          </w:p>
          <w:p w:rsidR="00BE2CD7" w:rsidRDefault="00BE2CD7" w:rsidP="00BE2CD7">
            <w:pPr>
              <w:numPr>
                <w:ilvl w:val="0"/>
                <w:numId w:val="7"/>
              </w:numPr>
              <w:spacing w:line="254" w:lineRule="auto"/>
            </w:pPr>
            <w:r>
              <w:t>Teaching staff</w:t>
            </w:r>
          </w:p>
          <w:p w:rsidR="00BE2CD7" w:rsidRDefault="00BE2CD7" w:rsidP="00BE2CD7">
            <w:pPr>
              <w:numPr>
                <w:ilvl w:val="0"/>
                <w:numId w:val="7"/>
              </w:numPr>
              <w:spacing w:line="254" w:lineRule="auto"/>
            </w:pPr>
            <w:r>
              <w:t xml:space="preserve">All Heads </w:t>
            </w:r>
          </w:p>
          <w:p w:rsidR="00BE2CD7" w:rsidRDefault="00BE2CD7" w:rsidP="00BE2CD7">
            <w:pPr>
              <w:numPr>
                <w:ilvl w:val="0"/>
                <w:numId w:val="7"/>
              </w:numPr>
              <w:spacing w:line="254" w:lineRule="auto"/>
            </w:pPr>
            <w:r w:rsidRPr="00BE2CD7">
              <w:rPr>
                <w:b/>
              </w:rPr>
              <w:t>C O’Neil</w:t>
            </w:r>
          </w:p>
        </w:tc>
        <w:tc>
          <w:tcPr>
            <w:tcW w:w="1727" w:type="dxa"/>
            <w:tcBorders>
              <w:top w:val="single" w:sz="4" w:space="0" w:color="auto"/>
              <w:left w:val="single" w:sz="4" w:space="0" w:color="auto"/>
              <w:bottom w:val="single" w:sz="4" w:space="0" w:color="auto"/>
              <w:right w:val="single" w:sz="4" w:space="0" w:color="auto"/>
            </w:tcBorders>
            <w:hideMark/>
          </w:tcPr>
          <w:p w:rsidR="00BE2CD7" w:rsidRDefault="00BE2CD7" w:rsidP="00BE2CD7"/>
        </w:tc>
      </w:tr>
    </w:tbl>
    <w:p w:rsidR="00506BF4" w:rsidRDefault="00506BF4" w:rsidP="009B6939">
      <w:pPr>
        <w:pStyle w:val="Heading2"/>
      </w:pPr>
      <w:bookmarkStart w:id="0" w:name="_GoBack"/>
      <w:bookmarkEnd w:id="0"/>
    </w:p>
    <w:p w:rsidR="00506BF4" w:rsidRDefault="00506BF4" w:rsidP="009B6939">
      <w:pPr>
        <w:pStyle w:val="Heading2"/>
      </w:pPr>
    </w:p>
    <w:p w:rsidR="00F743EC" w:rsidRPr="00564EE6" w:rsidRDefault="00F743EC" w:rsidP="00506BF4">
      <w:pPr>
        <w:rPr>
          <w:rFonts w:ascii="Arial" w:hAnsi="Arial" w:cs="Arial"/>
        </w:rPr>
      </w:pPr>
    </w:p>
    <w:sectPr w:rsidR="00F743EC" w:rsidRPr="00564EE6" w:rsidSect="00BE2C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751"/>
    <w:multiLevelType w:val="hybridMultilevel"/>
    <w:tmpl w:val="7108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4C26"/>
    <w:multiLevelType w:val="hybridMultilevel"/>
    <w:tmpl w:val="FAC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D16B4"/>
    <w:multiLevelType w:val="hybridMultilevel"/>
    <w:tmpl w:val="4192D2B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3" w15:restartNumberingAfterBreak="0">
    <w:nsid w:val="15EF3030"/>
    <w:multiLevelType w:val="hybridMultilevel"/>
    <w:tmpl w:val="A43C0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B6178"/>
    <w:multiLevelType w:val="hybridMultilevel"/>
    <w:tmpl w:val="EC46D982"/>
    <w:lvl w:ilvl="0" w:tplc="F4CE228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81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143A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9E584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E812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F6C9E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A655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0A5BC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98007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090910"/>
    <w:multiLevelType w:val="hybridMultilevel"/>
    <w:tmpl w:val="C3DE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94446"/>
    <w:multiLevelType w:val="hybridMultilevel"/>
    <w:tmpl w:val="AF58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07C51"/>
    <w:multiLevelType w:val="hybridMultilevel"/>
    <w:tmpl w:val="7396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70E28"/>
    <w:multiLevelType w:val="hybridMultilevel"/>
    <w:tmpl w:val="8D98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677A3"/>
    <w:multiLevelType w:val="hybridMultilevel"/>
    <w:tmpl w:val="2914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C2C7B"/>
    <w:multiLevelType w:val="hybridMultilevel"/>
    <w:tmpl w:val="6E3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27856"/>
    <w:multiLevelType w:val="hybridMultilevel"/>
    <w:tmpl w:val="CADC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935CF"/>
    <w:multiLevelType w:val="hybridMultilevel"/>
    <w:tmpl w:val="E60C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B3ECD"/>
    <w:multiLevelType w:val="hybridMultilevel"/>
    <w:tmpl w:val="E6FE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B41B0"/>
    <w:multiLevelType w:val="hybridMultilevel"/>
    <w:tmpl w:val="74A8DD1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6CDA486D"/>
    <w:multiLevelType w:val="hybridMultilevel"/>
    <w:tmpl w:val="75C6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56273"/>
    <w:multiLevelType w:val="hybridMultilevel"/>
    <w:tmpl w:val="2188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A698B"/>
    <w:multiLevelType w:val="hybridMultilevel"/>
    <w:tmpl w:val="7EBA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F4D3B"/>
    <w:multiLevelType w:val="hybridMultilevel"/>
    <w:tmpl w:val="38BE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5"/>
  </w:num>
  <w:num w:numId="5">
    <w:abstractNumId w:val="2"/>
  </w:num>
  <w:num w:numId="6">
    <w:abstractNumId w:val="0"/>
  </w:num>
  <w:num w:numId="7">
    <w:abstractNumId w:val="4"/>
  </w:num>
  <w:num w:numId="8">
    <w:abstractNumId w:val="3"/>
  </w:num>
  <w:num w:numId="9">
    <w:abstractNumId w:val="11"/>
  </w:num>
  <w:num w:numId="10">
    <w:abstractNumId w:val="17"/>
  </w:num>
  <w:num w:numId="11">
    <w:abstractNumId w:val="1"/>
  </w:num>
  <w:num w:numId="12">
    <w:abstractNumId w:val="5"/>
  </w:num>
  <w:num w:numId="13">
    <w:abstractNumId w:val="18"/>
  </w:num>
  <w:num w:numId="14">
    <w:abstractNumId w:val="10"/>
  </w:num>
  <w:num w:numId="15">
    <w:abstractNumId w:val="8"/>
  </w:num>
  <w:num w:numId="16">
    <w:abstractNumId w:val="14"/>
  </w:num>
  <w:num w:numId="17">
    <w:abstractNumId w:val="9"/>
  </w:num>
  <w:num w:numId="18">
    <w:abstractNumId w:val="12"/>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8F"/>
    <w:rsid w:val="0003447A"/>
    <w:rsid w:val="000711BC"/>
    <w:rsid w:val="000C1F8B"/>
    <w:rsid w:val="000E1FF1"/>
    <w:rsid w:val="00127842"/>
    <w:rsid w:val="0017071F"/>
    <w:rsid w:val="001846A9"/>
    <w:rsid w:val="001C479B"/>
    <w:rsid w:val="001E2111"/>
    <w:rsid w:val="001F4D20"/>
    <w:rsid w:val="00215A02"/>
    <w:rsid w:val="002A6A58"/>
    <w:rsid w:val="002B4F4E"/>
    <w:rsid w:val="002D38D5"/>
    <w:rsid w:val="00307D5A"/>
    <w:rsid w:val="00350B57"/>
    <w:rsid w:val="00370F12"/>
    <w:rsid w:val="003728EB"/>
    <w:rsid w:val="003A1648"/>
    <w:rsid w:val="003A6ACA"/>
    <w:rsid w:val="004C4769"/>
    <w:rsid w:val="004F30B7"/>
    <w:rsid w:val="00506BF4"/>
    <w:rsid w:val="0054342D"/>
    <w:rsid w:val="00564EE6"/>
    <w:rsid w:val="005A49F8"/>
    <w:rsid w:val="005D06F2"/>
    <w:rsid w:val="005D39A7"/>
    <w:rsid w:val="00607E8E"/>
    <w:rsid w:val="006403E2"/>
    <w:rsid w:val="00681F63"/>
    <w:rsid w:val="006F0227"/>
    <w:rsid w:val="007154C4"/>
    <w:rsid w:val="00771EA9"/>
    <w:rsid w:val="0077441F"/>
    <w:rsid w:val="007C2811"/>
    <w:rsid w:val="007F0615"/>
    <w:rsid w:val="00843D15"/>
    <w:rsid w:val="008725BD"/>
    <w:rsid w:val="0089553D"/>
    <w:rsid w:val="008B5B09"/>
    <w:rsid w:val="008C16BE"/>
    <w:rsid w:val="008E32D3"/>
    <w:rsid w:val="008E4D8E"/>
    <w:rsid w:val="00912578"/>
    <w:rsid w:val="009B6939"/>
    <w:rsid w:val="009C37E4"/>
    <w:rsid w:val="009D1108"/>
    <w:rsid w:val="009D69E1"/>
    <w:rsid w:val="009E6D8F"/>
    <w:rsid w:val="009E709C"/>
    <w:rsid w:val="00AA14BE"/>
    <w:rsid w:val="00AF24EA"/>
    <w:rsid w:val="00B80760"/>
    <w:rsid w:val="00BC1C1F"/>
    <w:rsid w:val="00BC696C"/>
    <w:rsid w:val="00BD73A0"/>
    <w:rsid w:val="00BE2CD7"/>
    <w:rsid w:val="00C47D97"/>
    <w:rsid w:val="00C76E38"/>
    <w:rsid w:val="00CA4F93"/>
    <w:rsid w:val="00CF2671"/>
    <w:rsid w:val="00D0100D"/>
    <w:rsid w:val="00D56C33"/>
    <w:rsid w:val="00D87CC4"/>
    <w:rsid w:val="00DD4B00"/>
    <w:rsid w:val="00DE3AA5"/>
    <w:rsid w:val="00DE477E"/>
    <w:rsid w:val="00DF6A29"/>
    <w:rsid w:val="00E13B4A"/>
    <w:rsid w:val="00E849DC"/>
    <w:rsid w:val="00F743EC"/>
    <w:rsid w:val="00F8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BC82"/>
  <w15:chartTrackingRefBased/>
  <w15:docId w15:val="{BF5DB534-1C1A-4621-9AFC-E73DA39A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1F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93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B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1FF1"/>
    <w:rPr>
      <w:color w:val="0563C1" w:themeColor="hyperlink"/>
      <w:u w:val="single"/>
    </w:rPr>
  </w:style>
  <w:style w:type="character" w:customStyle="1" w:styleId="Heading3Char">
    <w:name w:val="Heading 3 Char"/>
    <w:basedOn w:val="DefaultParagraphFont"/>
    <w:link w:val="Heading3"/>
    <w:uiPriority w:val="9"/>
    <w:rsid w:val="000E1FF1"/>
    <w:rPr>
      <w:rFonts w:asciiTheme="majorHAnsi" w:eastAsiaTheme="majorEastAsia" w:hAnsiTheme="majorHAnsi" w:cstheme="majorBidi"/>
      <w:color w:val="1F4D78" w:themeColor="accent1" w:themeShade="7F"/>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D4B00"/>
    <w:pPr>
      <w:ind w:left="720"/>
      <w:contextualSpacing/>
    </w:pPr>
  </w:style>
  <w:style w:type="paragraph" w:styleId="NormalWeb">
    <w:name w:val="Normal (Web)"/>
    <w:basedOn w:val="Normal"/>
    <w:uiPriority w:val="99"/>
    <w:unhideWhenUsed/>
    <w:rsid w:val="00E849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49DC"/>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50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wscotland.sharepoint.com/sites/EastAyrshire/eahealthandwellbeingnewmain2019/eahwbprogramemain2019/SitePages/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whole-school-approach-mental-health-wellbeing/" TargetMode="External"/><Relationship Id="rId5" Type="http://schemas.openxmlformats.org/officeDocument/2006/relationships/hyperlink" Target="https://cpag.org.uk/cost-school-day-elearning-cour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Catrina</dc:creator>
  <cp:keywords/>
  <dc:description/>
  <cp:lastModifiedBy>O'Neil, Catrina</cp:lastModifiedBy>
  <cp:revision>51</cp:revision>
  <dcterms:created xsi:type="dcterms:W3CDTF">2023-06-08T09:51:00Z</dcterms:created>
  <dcterms:modified xsi:type="dcterms:W3CDTF">2023-06-12T09:50:00Z</dcterms:modified>
</cp:coreProperties>
</file>