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878" w:rsidRDefault="00E076AC" w:rsidP="001A53AD">
      <w:pPr>
        <w:pStyle w:val="Heading1"/>
        <w:jc w:val="center"/>
      </w:pPr>
      <w:r w:rsidRPr="00E076AC">
        <w:drawing>
          <wp:anchor distT="0" distB="0" distL="114300" distR="114300" simplePos="0" relativeHeight="251659264" behindDoc="0" locked="0" layoutInCell="1" allowOverlap="1" wp14:anchorId="657AC546" wp14:editId="31EF068B">
            <wp:simplePos x="0" y="0"/>
            <wp:positionH relativeFrom="margin">
              <wp:align>right</wp:align>
            </wp:positionH>
            <wp:positionV relativeFrom="paragraph">
              <wp:posOffset>-491929</wp:posOffset>
            </wp:positionV>
            <wp:extent cx="445904" cy="647114"/>
            <wp:effectExtent l="0" t="0" r="0" b="635"/>
            <wp:wrapNone/>
            <wp:docPr id="1" name="Picture 1" descr="East Ayrshire Council PLTA Professional Learning Site – Planning, Learning,  Teaching, Assessment and Mo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Ayrshire Council PLTA Professional Learning Site – Planning, Learning,  Teaching, Assessment and Moder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904" cy="6471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76AC">
        <w:drawing>
          <wp:anchor distT="0" distB="0" distL="114300" distR="114300" simplePos="0" relativeHeight="251661312" behindDoc="0" locked="0" layoutInCell="1" allowOverlap="1" wp14:anchorId="65BC5C3E" wp14:editId="062B965C">
            <wp:simplePos x="0" y="0"/>
            <wp:positionH relativeFrom="margin">
              <wp:align>left</wp:align>
            </wp:positionH>
            <wp:positionV relativeFrom="paragraph">
              <wp:posOffset>-492271</wp:posOffset>
            </wp:positionV>
            <wp:extent cx="613296" cy="738554"/>
            <wp:effectExtent l="0" t="0" r="0" b="4445"/>
            <wp:wrapNone/>
            <wp:docPr id="2" name="Picture 2" descr="C:\Users\oneilc\AppData\Local\Microsoft\Windows\INetCache\Content.MSO\1E4D51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ilc\AppData\Local\Microsoft\Windows\INetCache\Content.MSO\1E4D5104.tmp"/>
                    <pic:cNvPicPr>
                      <a:picLocks noChangeAspect="1" noChangeArrowheads="1"/>
                    </pic:cNvPicPr>
                  </pic:nvPicPr>
                  <pic:blipFill rotWithShape="1">
                    <a:blip r:embed="rId8">
                      <a:extLst>
                        <a:ext uri="{28A0092B-C50C-407E-A947-70E740481C1C}">
                          <a14:useLocalDpi xmlns:a14="http://schemas.microsoft.com/office/drawing/2010/main" val="0"/>
                        </a:ext>
                      </a:extLst>
                    </a:blip>
                    <a:srcRect b="13393"/>
                    <a:stretch/>
                  </pic:blipFill>
                  <pic:spPr bwMode="auto">
                    <a:xfrm>
                      <a:off x="0" y="0"/>
                      <a:ext cx="613296" cy="7385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7878">
        <w:t>Sharing Practice</w:t>
      </w:r>
    </w:p>
    <w:p w:rsidR="002A7878" w:rsidRPr="002A7878" w:rsidRDefault="000B4DBA" w:rsidP="002A7878">
      <w:r>
        <w:t xml:space="preserve">In your </w:t>
      </w:r>
      <w:r w:rsidR="00B80566">
        <w:t>trios discuss the impact of PEF 2</w:t>
      </w:r>
      <w:r>
        <w:t>022/23</w:t>
      </w:r>
      <w:r w:rsidR="00B80566">
        <w:t xml:space="preserve"> in your school and consider the sharing practice document:</w:t>
      </w:r>
    </w:p>
    <w:p w:rsidR="002A7878" w:rsidRDefault="002A7878" w:rsidP="001A53AD">
      <w:pPr>
        <w:pStyle w:val="Heading1"/>
        <w:jc w:val="center"/>
      </w:pPr>
    </w:p>
    <w:p w:rsidR="002A7878" w:rsidRDefault="002A7878" w:rsidP="001A53AD">
      <w:pPr>
        <w:pStyle w:val="Heading1"/>
        <w:jc w:val="center"/>
      </w:pPr>
    </w:p>
    <w:p w:rsidR="001A53AD" w:rsidRDefault="001A53AD" w:rsidP="001A53AD">
      <w:pPr>
        <w:pStyle w:val="Heading1"/>
        <w:jc w:val="center"/>
      </w:pPr>
      <w:r>
        <w:t xml:space="preserve">PEF </w:t>
      </w:r>
      <w:r w:rsidR="00A323E7">
        <w:t xml:space="preserve">Schools </w:t>
      </w:r>
      <w:r>
        <w:t>Check List</w:t>
      </w:r>
      <w:r w:rsidR="00E076AC">
        <w:t xml:space="preserve"> / PEF Implementation</w:t>
      </w:r>
      <w:bookmarkStart w:id="0" w:name="_GoBack"/>
      <w:bookmarkEnd w:id="0"/>
      <w:r w:rsidR="00E076AC">
        <w:t xml:space="preserve"> Flow chart</w:t>
      </w:r>
    </w:p>
    <w:p w:rsidR="007963C9" w:rsidRPr="007963C9" w:rsidRDefault="007963C9" w:rsidP="007963C9"/>
    <w:tbl>
      <w:tblPr>
        <w:tblStyle w:val="TableGrid"/>
        <w:tblW w:w="0" w:type="auto"/>
        <w:tblLook w:val="04A0" w:firstRow="1" w:lastRow="0" w:firstColumn="1" w:lastColumn="0" w:noHBand="0" w:noVBand="1"/>
      </w:tblPr>
      <w:tblGrid>
        <w:gridCol w:w="5237"/>
        <w:gridCol w:w="2980"/>
        <w:gridCol w:w="3118"/>
        <w:gridCol w:w="2613"/>
      </w:tblGrid>
      <w:tr w:rsidR="007963C9" w:rsidTr="007963C9">
        <w:tc>
          <w:tcPr>
            <w:tcW w:w="5237" w:type="dxa"/>
          </w:tcPr>
          <w:p w:rsidR="007963C9" w:rsidRDefault="007963C9">
            <w:r>
              <w:t>Checklist points</w:t>
            </w:r>
          </w:p>
        </w:tc>
        <w:tc>
          <w:tcPr>
            <w:tcW w:w="2980" w:type="dxa"/>
          </w:tcPr>
          <w:p w:rsidR="007963C9" w:rsidRDefault="007963C9">
            <w:r>
              <w:t>Where are you now?</w:t>
            </w:r>
          </w:p>
        </w:tc>
        <w:tc>
          <w:tcPr>
            <w:tcW w:w="3118" w:type="dxa"/>
          </w:tcPr>
          <w:p w:rsidR="007963C9" w:rsidRDefault="007963C9">
            <w:r>
              <w:t>Where do you want to be in the future? (Insert achievement dates)</w:t>
            </w:r>
          </w:p>
        </w:tc>
        <w:tc>
          <w:tcPr>
            <w:tcW w:w="2613" w:type="dxa"/>
          </w:tcPr>
          <w:p w:rsidR="007963C9" w:rsidRDefault="007963C9">
            <w:r>
              <w:t>Supports required from attainment advisor / EAC</w:t>
            </w:r>
          </w:p>
        </w:tc>
      </w:tr>
      <w:tr w:rsidR="007963C9" w:rsidTr="007963C9">
        <w:tc>
          <w:tcPr>
            <w:tcW w:w="5237" w:type="dxa"/>
          </w:tcPr>
          <w:p w:rsidR="007963C9" w:rsidRDefault="007963C9" w:rsidP="007963C9">
            <w:r>
              <w:t xml:space="preserve">We make use of the support offered by our local authority and our attainment advisor and collaborate with others to ensure effective use of PEF </w:t>
            </w:r>
            <w:proofErr w:type="gramStart"/>
            <w:r>
              <w:t>to continuously improve</w:t>
            </w:r>
            <w:proofErr w:type="gramEnd"/>
            <w:r>
              <w:t xml:space="preserve"> outcomes for children and young people impacted by poverty. </w:t>
            </w:r>
          </w:p>
          <w:p w:rsidR="007963C9" w:rsidRDefault="007963C9" w:rsidP="007963C9"/>
          <w:p w:rsidR="007963C9" w:rsidRDefault="007963C9" w:rsidP="007963C9"/>
          <w:p w:rsidR="007963C9" w:rsidRDefault="007963C9"/>
        </w:tc>
        <w:tc>
          <w:tcPr>
            <w:tcW w:w="2980" w:type="dxa"/>
          </w:tcPr>
          <w:p w:rsidR="007963C9" w:rsidRDefault="007963C9"/>
        </w:tc>
        <w:tc>
          <w:tcPr>
            <w:tcW w:w="3118" w:type="dxa"/>
          </w:tcPr>
          <w:p w:rsidR="007963C9" w:rsidRDefault="007963C9"/>
        </w:tc>
        <w:tc>
          <w:tcPr>
            <w:tcW w:w="2613" w:type="dxa"/>
          </w:tcPr>
          <w:p w:rsidR="007963C9" w:rsidRDefault="007963C9"/>
        </w:tc>
      </w:tr>
      <w:tr w:rsidR="007963C9" w:rsidTr="007963C9">
        <w:tc>
          <w:tcPr>
            <w:tcW w:w="5237" w:type="dxa"/>
          </w:tcPr>
          <w:p w:rsidR="007963C9" w:rsidRDefault="007963C9" w:rsidP="007963C9">
            <w:r>
              <w:t xml:space="preserve">Through our robust contextual </w:t>
            </w:r>
            <w:proofErr w:type="gramStart"/>
            <w:r>
              <w:t>analysis</w:t>
            </w:r>
            <w:proofErr w:type="gramEnd"/>
            <w:r>
              <w:t xml:space="preserve"> we clearly identify poverty-related attainment gaps in order to target PEF appropriately. In doing so we consider attainment, attendance, inclusion, engagement and participation. </w:t>
            </w:r>
          </w:p>
          <w:p w:rsidR="007963C9" w:rsidRDefault="007963C9" w:rsidP="007963C9"/>
          <w:p w:rsidR="007963C9" w:rsidRDefault="007963C9" w:rsidP="007963C9"/>
          <w:p w:rsidR="007963C9" w:rsidRDefault="007963C9"/>
        </w:tc>
        <w:tc>
          <w:tcPr>
            <w:tcW w:w="2980" w:type="dxa"/>
          </w:tcPr>
          <w:p w:rsidR="007963C9" w:rsidRDefault="007963C9"/>
        </w:tc>
        <w:tc>
          <w:tcPr>
            <w:tcW w:w="3118" w:type="dxa"/>
          </w:tcPr>
          <w:p w:rsidR="007963C9" w:rsidRDefault="007963C9"/>
        </w:tc>
        <w:tc>
          <w:tcPr>
            <w:tcW w:w="2613" w:type="dxa"/>
          </w:tcPr>
          <w:p w:rsidR="007963C9" w:rsidRDefault="007963C9"/>
        </w:tc>
      </w:tr>
      <w:tr w:rsidR="007963C9" w:rsidTr="007963C9">
        <w:tc>
          <w:tcPr>
            <w:tcW w:w="5237" w:type="dxa"/>
          </w:tcPr>
          <w:p w:rsidR="007963C9" w:rsidRDefault="007963C9" w:rsidP="007963C9">
            <w:r>
              <w:lastRenderedPageBreak/>
              <w:t xml:space="preserve">We meaningfully involve children, young people, their parents and other key stakeholders in PEF planning, implementation and evaluation. This may include the use of participatory budgeting. </w:t>
            </w:r>
          </w:p>
          <w:p w:rsidR="007963C9" w:rsidRDefault="007963C9" w:rsidP="007963C9"/>
          <w:p w:rsidR="007963C9" w:rsidRDefault="007963C9" w:rsidP="007963C9"/>
          <w:p w:rsidR="007963C9" w:rsidRDefault="007963C9" w:rsidP="007963C9"/>
          <w:p w:rsidR="007963C9" w:rsidRDefault="007963C9"/>
        </w:tc>
        <w:tc>
          <w:tcPr>
            <w:tcW w:w="2980" w:type="dxa"/>
          </w:tcPr>
          <w:p w:rsidR="007963C9" w:rsidRDefault="007963C9"/>
        </w:tc>
        <w:tc>
          <w:tcPr>
            <w:tcW w:w="3118" w:type="dxa"/>
          </w:tcPr>
          <w:p w:rsidR="007963C9" w:rsidRDefault="007963C9"/>
        </w:tc>
        <w:tc>
          <w:tcPr>
            <w:tcW w:w="2613" w:type="dxa"/>
          </w:tcPr>
          <w:p w:rsidR="007963C9" w:rsidRDefault="007963C9"/>
        </w:tc>
      </w:tr>
      <w:tr w:rsidR="007963C9" w:rsidTr="007963C9">
        <w:tc>
          <w:tcPr>
            <w:tcW w:w="5237" w:type="dxa"/>
          </w:tcPr>
          <w:p w:rsidR="007963C9" w:rsidRDefault="007963C9" w:rsidP="007963C9">
            <w:r>
              <w:t xml:space="preserve">Our planning has a strong rationale, clear outcomes and measures and </w:t>
            </w:r>
            <w:proofErr w:type="gramStart"/>
            <w:r>
              <w:t>approaches which</w:t>
            </w:r>
            <w:proofErr w:type="gramEnd"/>
            <w:r>
              <w:t xml:space="preserve"> are evidence based. </w:t>
            </w:r>
          </w:p>
          <w:p w:rsidR="007963C9" w:rsidRDefault="007963C9" w:rsidP="007963C9"/>
          <w:p w:rsidR="007963C9" w:rsidRDefault="007963C9" w:rsidP="007963C9"/>
          <w:p w:rsidR="007963C9" w:rsidRDefault="007963C9" w:rsidP="007963C9"/>
          <w:p w:rsidR="007963C9" w:rsidRDefault="007963C9" w:rsidP="007963C9"/>
          <w:p w:rsidR="007963C9" w:rsidRDefault="007963C9" w:rsidP="007963C9"/>
          <w:p w:rsidR="007963C9" w:rsidRDefault="007963C9"/>
        </w:tc>
        <w:tc>
          <w:tcPr>
            <w:tcW w:w="2980" w:type="dxa"/>
          </w:tcPr>
          <w:p w:rsidR="007963C9" w:rsidRDefault="007963C9"/>
        </w:tc>
        <w:tc>
          <w:tcPr>
            <w:tcW w:w="3118" w:type="dxa"/>
          </w:tcPr>
          <w:p w:rsidR="007963C9" w:rsidRDefault="007963C9"/>
        </w:tc>
        <w:tc>
          <w:tcPr>
            <w:tcW w:w="2613" w:type="dxa"/>
          </w:tcPr>
          <w:p w:rsidR="007963C9" w:rsidRDefault="007963C9"/>
        </w:tc>
      </w:tr>
      <w:tr w:rsidR="007963C9" w:rsidTr="007963C9">
        <w:tc>
          <w:tcPr>
            <w:tcW w:w="5237" w:type="dxa"/>
          </w:tcPr>
          <w:p w:rsidR="007963C9" w:rsidRDefault="007963C9" w:rsidP="007963C9">
            <w:r>
              <w:t xml:space="preserve">Taking account of the four-year allocation of </w:t>
            </w:r>
            <w:proofErr w:type="gramStart"/>
            <w:r>
              <w:t>PEF</w:t>
            </w:r>
            <w:proofErr w:type="gramEnd"/>
            <w:r>
              <w:t xml:space="preserve"> we ensure we consider longer-term approaches and make effective use of our full allocation. </w:t>
            </w:r>
          </w:p>
          <w:p w:rsidR="007963C9" w:rsidRDefault="007963C9"/>
          <w:p w:rsidR="007963C9" w:rsidRDefault="007963C9"/>
          <w:p w:rsidR="007963C9" w:rsidRDefault="007963C9"/>
          <w:p w:rsidR="007963C9" w:rsidRDefault="007963C9"/>
          <w:p w:rsidR="007963C9" w:rsidRDefault="007963C9"/>
        </w:tc>
        <w:tc>
          <w:tcPr>
            <w:tcW w:w="2980" w:type="dxa"/>
          </w:tcPr>
          <w:p w:rsidR="007963C9" w:rsidRDefault="007963C9"/>
        </w:tc>
        <w:tc>
          <w:tcPr>
            <w:tcW w:w="3118" w:type="dxa"/>
          </w:tcPr>
          <w:p w:rsidR="007963C9" w:rsidRDefault="007963C9"/>
        </w:tc>
        <w:tc>
          <w:tcPr>
            <w:tcW w:w="2613" w:type="dxa"/>
          </w:tcPr>
          <w:p w:rsidR="007963C9" w:rsidRDefault="007963C9"/>
        </w:tc>
      </w:tr>
      <w:tr w:rsidR="007963C9" w:rsidTr="007963C9">
        <w:tc>
          <w:tcPr>
            <w:tcW w:w="5237" w:type="dxa"/>
          </w:tcPr>
          <w:p w:rsidR="007963C9" w:rsidRDefault="007963C9" w:rsidP="007963C9">
            <w:r>
              <w:t xml:space="preserve">We work collaboratively with other schools and with community partners to improve outcomes for children and young people impacted by poverty. We closely monitor and track the impact of our work so that we can make changes where necessary to ensure positive outcomes for children and young people impacted by poverty. </w:t>
            </w:r>
          </w:p>
          <w:p w:rsidR="007963C9" w:rsidRDefault="007963C9" w:rsidP="007963C9"/>
        </w:tc>
        <w:tc>
          <w:tcPr>
            <w:tcW w:w="2980" w:type="dxa"/>
          </w:tcPr>
          <w:p w:rsidR="007963C9" w:rsidRDefault="007963C9"/>
        </w:tc>
        <w:tc>
          <w:tcPr>
            <w:tcW w:w="3118" w:type="dxa"/>
          </w:tcPr>
          <w:p w:rsidR="007963C9" w:rsidRDefault="007963C9"/>
        </w:tc>
        <w:tc>
          <w:tcPr>
            <w:tcW w:w="2613" w:type="dxa"/>
          </w:tcPr>
          <w:p w:rsidR="007963C9" w:rsidRDefault="007963C9"/>
        </w:tc>
      </w:tr>
      <w:tr w:rsidR="007963C9" w:rsidTr="007963C9">
        <w:tc>
          <w:tcPr>
            <w:tcW w:w="5237" w:type="dxa"/>
          </w:tcPr>
          <w:p w:rsidR="007963C9" w:rsidRDefault="007963C9" w:rsidP="007963C9">
            <w:r>
              <w:t>Our wider school policies and practice support equity.</w:t>
            </w:r>
          </w:p>
          <w:p w:rsidR="007963C9" w:rsidRDefault="007963C9" w:rsidP="007963C9"/>
          <w:p w:rsidR="007963C9" w:rsidRDefault="007963C9" w:rsidP="007963C9"/>
          <w:p w:rsidR="007963C9" w:rsidRDefault="007963C9" w:rsidP="007963C9"/>
          <w:p w:rsidR="007963C9" w:rsidRDefault="007963C9" w:rsidP="007963C9"/>
          <w:p w:rsidR="007963C9" w:rsidRDefault="007963C9" w:rsidP="007963C9"/>
          <w:p w:rsidR="007963C9" w:rsidRDefault="007963C9" w:rsidP="007963C9"/>
        </w:tc>
        <w:tc>
          <w:tcPr>
            <w:tcW w:w="2980" w:type="dxa"/>
          </w:tcPr>
          <w:p w:rsidR="007963C9" w:rsidRDefault="007963C9"/>
        </w:tc>
        <w:tc>
          <w:tcPr>
            <w:tcW w:w="3118" w:type="dxa"/>
          </w:tcPr>
          <w:p w:rsidR="007963C9" w:rsidRDefault="007963C9"/>
        </w:tc>
        <w:tc>
          <w:tcPr>
            <w:tcW w:w="2613" w:type="dxa"/>
          </w:tcPr>
          <w:p w:rsidR="007963C9" w:rsidRDefault="007963C9"/>
        </w:tc>
      </w:tr>
      <w:tr w:rsidR="007963C9" w:rsidTr="007963C9">
        <w:tc>
          <w:tcPr>
            <w:tcW w:w="5237" w:type="dxa"/>
          </w:tcPr>
          <w:p w:rsidR="007963C9" w:rsidRDefault="007963C9" w:rsidP="007963C9">
            <w:r>
              <w:t xml:space="preserve">Within our Standards and Quality Report we explicitly report on how PEF has improved outcomes for children and young people impacted by poverty. </w:t>
            </w:r>
          </w:p>
          <w:p w:rsidR="007963C9" w:rsidRDefault="007963C9" w:rsidP="007963C9"/>
          <w:p w:rsidR="007963C9" w:rsidRDefault="007963C9" w:rsidP="007963C9"/>
          <w:p w:rsidR="007963C9" w:rsidRDefault="007963C9" w:rsidP="007963C9"/>
          <w:p w:rsidR="007963C9" w:rsidRDefault="007963C9"/>
        </w:tc>
        <w:tc>
          <w:tcPr>
            <w:tcW w:w="2980" w:type="dxa"/>
          </w:tcPr>
          <w:p w:rsidR="007963C9" w:rsidRDefault="007963C9"/>
        </w:tc>
        <w:tc>
          <w:tcPr>
            <w:tcW w:w="3118" w:type="dxa"/>
          </w:tcPr>
          <w:p w:rsidR="007963C9" w:rsidRDefault="007963C9"/>
        </w:tc>
        <w:tc>
          <w:tcPr>
            <w:tcW w:w="2613" w:type="dxa"/>
          </w:tcPr>
          <w:p w:rsidR="007963C9" w:rsidRDefault="007963C9"/>
        </w:tc>
      </w:tr>
      <w:tr w:rsidR="007963C9" w:rsidTr="007963C9">
        <w:tc>
          <w:tcPr>
            <w:tcW w:w="5237" w:type="dxa"/>
          </w:tcPr>
          <w:p w:rsidR="007963C9" w:rsidRDefault="007963C9" w:rsidP="007963C9">
            <w:r>
              <w:t xml:space="preserve">Our plans and reports outlining the use and impact of PEF are publicly available so that our stakeholders have clarity on how the funding </w:t>
            </w:r>
            <w:proofErr w:type="gramStart"/>
            <w:r>
              <w:t>is used</w:t>
            </w:r>
            <w:proofErr w:type="gramEnd"/>
            <w:r>
              <w:t xml:space="preserve"> and the impact it is having. </w:t>
            </w:r>
          </w:p>
          <w:p w:rsidR="007963C9" w:rsidRDefault="007963C9" w:rsidP="007963C9"/>
          <w:p w:rsidR="007963C9" w:rsidRDefault="007963C9" w:rsidP="007963C9"/>
          <w:p w:rsidR="007963C9" w:rsidRDefault="007963C9" w:rsidP="007963C9"/>
          <w:p w:rsidR="007963C9" w:rsidRDefault="007963C9" w:rsidP="007963C9"/>
        </w:tc>
        <w:tc>
          <w:tcPr>
            <w:tcW w:w="2980" w:type="dxa"/>
          </w:tcPr>
          <w:p w:rsidR="007963C9" w:rsidRDefault="007963C9"/>
        </w:tc>
        <w:tc>
          <w:tcPr>
            <w:tcW w:w="3118" w:type="dxa"/>
          </w:tcPr>
          <w:p w:rsidR="007963C9" w:rsidRDefault="007963C9"/>
        </w:tc>
        <w:tc>
          <w:tcPr>
            <w:tcW w:w="2613" w:type="dxa"/>
          </w:tcPr>
          <w:p w:rsidR="007963C9" w:rsidRDefault="007963C9"/>
        </w:tc>
      </w:tr>
      <w:tr w:rsidR="007963C9" w:rsidTr="007963C9">
        <w:tc>
          <w:tcPr>
            <w:tcW w:w="5237" w:type="dxa"/>
          </w:tcPr>
          <w:p w:rsidR="007963C9" w:rsidRDefault="007963C9" w:rsidP="007963C9">
            <w:r>
              <w:t>Our wider school policies and practice support equity.</w:t>
            </w:r>
          </w:p>
          <w:p w:rsidR="007963C9" w:rsidRDefault="007963C9" w:rsidP="007963C9"/>
          <w:p w:rsidR="007963C9" w:rsidRDefault="007963C9" w:rsidP="007963C9"/>
          <w:p w:rsidR="007963C9" w:rsidRDefault="007963C9" w:rsidP="007963C9"/>
          <w:p w:rsidR="007963C9" w:rsidRDefault="007963C9" w:rsidP="007963C9"/>
        </w:tc>
        <w:tc>
          <w:tcPr>
            <w:tcW w:w="2980" w:type="dxa"/>
          </w:tcPr>
          <w:p w:rsidR="007963C9" w:rsidRDefault="007963C9"/>
        </w:tc>
        <w:tc>
          <w:tcPr>
            <w:tcW w:w="3118" w:type="dxa"/>
          </w:tcPr>
          <w:p w:rsidR="007963C9" w:rsidRDefault="007963C9"/>
        </w:tc>
        <w:tc>
          <w:tcPr>
            <w:tcW w:w="2613" w:type="dxa"/>
          </w:tcPr>
          <w:p w:rsidR="007963C9" w:rsidRDefault="007963C9"/>
        </w:tc>
      </w:tr>
    </w:tbl>
    <w:p w:rsidR="001A53AD" w:rsidRDefault="001A53AD"/>
    <w:p w:rsidR="001A53AD" w:rsidRDefault="001A53AD"/>
    <w:p w:rsidR="00E076AC" w:rsidRDefault="00E076AC"/>
    <w:p w:rsidR="00E076AC" w:rsidRDefault="00E076AC"/>
    <w:p w:rsidR="00E076AC" w:rsidRDefault="00E076AC">
      <w:r w:rsidRPr="00E076AC">
        <w:lastRenderedPageBreak/>
        <w:drawing>
          <wp:inline distT="0" distB="0" distL="0" distR="0" wp14:anchorId="6819C9CA" wp14:editId="1E05E47C">
            <wp:extent cx="9036672" cy="5451231"/>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stretch>
                      <a:fillRect/>
                    </a:stretch>
                  </pic:blipFill>
                  <pic:spPr>
                    <a:xfrm>
                      <a:off x="0" y="0"/>
                      <a:ext cx="9048991" cy="5458663"/>
                    </a:xfrm>
                    <a:prstGeom prst="rect">
                      <a:avLst/>
                    </a:prstGeom>
                  </pic:spPr>
                </pic:pic>
              </a:graphicData>
            </a:graphic>
          </wp:inline>
        </w:drawing>
      </w:r>
    </w:p>
    <w:sectPr w:rsidR="00E076AC" w:rsidSect="001A53AD">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B9D" w:rsidRDefault="00873B9D" w:rsidP="00E076AC">
      <w:pPr>
        <w:spacing w:after="0" w:line="240" w:lineRule="auto"/>
      </w:pPr>
      <w:r>
        <w:separator/>
      </w:r>
    </w:p>
  </w:endnote>
  <w:endnote w:type="continuationSeparator" w:id="0">
    <w:p w:rsidR="00873B9D" w:rsidRDefault="00873B9D" w:rsidP="00E0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804899"/>
      <w:docPartObj>
        <w:docPartGallery w:val="Page Numbers (Bottom of Page)"/>
        <w:docPartUnique/>
      </w:docPartObj>
    </w:sdtPr>
    <w:sdtEndPr>
      <w:rPr>
        <w:noProof/>
      </w:rPr>
    </w:sdtEndPr>
    <w:sdtContent>
      <w:p w:rsidR="00E076AC" w:rsidRDefault="00E076AC">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E076AC" w:rsidRDefault="00E07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B9D" w:rsidRDefault="00873B9D" w:rsidP="00E076AC">
      <w:pPr>
        <w:spacing w:after="0" w:line="240" w:lineRule="auto"/>
      </w:pPr>
      <w:r>
        <w:separator/>
      </w:r>
    </w:p>
  </w:footnote>
  <w:footnote w:type="continuationSeparator" w:id="0">
    <w:p w:rsidR="00873B9D" w:rsidRDefault="00873B9D" w:rsidP="00E07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0C07BD"/>
    <w:multiLevelType w:val="hybridMultilevel"/>
    <w:tmpl w:val="EA2A0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41"/>
    <w:rsid w:val="000B4DBA"/>
    <w:rsid w:val="001A53AD"/>
    <w:rsid w:val="002A7878"/>
    <w:rsid w:val="003B271B"/>
    <w:rsid w:val="00404D62"/>
    <w:rsid w:val="007963C9"/>
    <w:rsid w:val="00873B9D"/>
    <w:rsid w:val="00A323E7"/>
    <w:rsid w:val="00B80566"/>
    <w:rsid w:val="00CC7E41"/>
    <w:rsid w:val="00D84667"/>
    <w:rsid w:val="00E07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524C"/>
  <w15:chartTrackingRefBased/>
  <w15:docId w15:val="{A80F2F56-FC3A-4B8A-95AE-40333E14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53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3AD"/>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96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63C9"/>
    <w:pPr>
      <w:ind w:left="720"/>
      <w:contextualSpacing/>
    </w:pPr>
  </w:style>
  <w:style w:type="paragraph" w:styleId="Header">
    <w:name w:val="header"/>
    <w:basedOn w:val="Normal"/>
    <w:link w:val="HeaderChar"/>
    <w:uiPriority w:val="99"/>
    <w:unhideWhenUsed/>
    <w:rsid w:val="00E07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6AC"/>
  </w:style>
  <w:style w:type="paragraph" w:styleId="Footer">
    <w:name w:val="footer"/>
    <w:basedOn w:val="Normal"/>
    <w:link w:val="FooterChar"/>
    <w:uiPriority w:val="99"/>
    <w:unhideWhenUsed/>
    <w:rsid w:val="00E07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Catrina</dc:creator>
  <cp:keywords/>
  <dc:description/>
  <cp:lastModifiedBy>O'Neil, Catrina</cp:lastModifiedBy>
  <cp:revision>8</cp:revision>
  <dcterms:created xsi:type="dcterms:W3CDTF">2023-02-06T09:29:00Z</dcterms:created>
  <dcterms:modified xsi:type="dcterms:W3CDTF">2023-03-30T15:25:00Z</dcterms:modified>
</cp:coreProperties>
</file>