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5F" w:rsidRDefault="00B92D5F" w:rsidP="00B92D5F">
      <w:pPr>
        <w:pStyle w:val="Heading1"/>
        <w:jc w:val="center"/>
      </w:pPr>
      <w:r>
        <w:t>East Ayrshire Council PEF Sharing Practice Document 2022/2023</w:t>
      </w:r>
    </w:p>
    <w:p w:rsidR="00B92D5F" w:rsidRPr="00B92D5F" w:rsidRDefault="00B92D5F" w:rsidP="00B92D5F">
      <w:bookmarkStart w:id="0" w:name="_GoBack"/>
      <w:bookmarkEnd w:id="0"/>
    </w:p>
    <w:tbl>
      <w:tblPr>
        <w:tblStyle w:val="TableGrid"/>
        <w:tblW w:w="13953" w:type="dxa"/>
        <w:tblLook w:val="04A0" w:firstRow="1" w:lastRow="0" w:firstColumn="1" w:lastColumn="0" w:noHBand="0" w:noVBand="1"/>
      </w:tblPr>
      <w:tblGrid>
        <w:gridCol w:w="1284"/>
        <w:gridCol w:w="3409"/>
        <w:gridCol w:w="3409"/>
        <w:gridCol w:w="3409"/>
        <w:gridCol w:w="3409"/>
      </w:tblGrid>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b/>
                <w:bCs/>
                <w:sz w:val="20"/>
              </w:rPr>
            </w:pPr>
            <w:r w:rsidRPr="00C64631">
              <w:rPr>
                <w:b/>
                <w:bCs/>
                <w:sz w:val="20"/>
              </w:rPr>
              <w:t>Name of school </w:t>
            </w:r>
          </w:p>
        </w:tc>
        <w:tc>
          <w:tcPr>
            <w:tcW w:w="3409" w:type="dxa"/>
            <w:noWrap/>
            <w:hideMark/>
          </w:tcPr>
          <w:p w:rsidR="00B92D5F" w:rsidRPr="00C64631" w:rsidRDefault="00B92D5F" w:rsidP="00B2059C">
            <w:pPr>
              <w:shd w:val="clear" w:color="auto" w:fill="FFFFFF" w:themeFill="background1"/>
              <w:rPr>
                <w:b/>
                <w:bCs/>
                <w:sz w:val="20"/>
              </w:rPr>
            </w:pPr>
            <w:r w:rsidRPr="00C64631">
              <w:rPr>
                <w:b/>
                <w:bCs/>
                <w:sz w:val="20"/>
              </w:rPr>
              <w:t>Title of action undertaken </w:t>
            </w:r>
          </w:p>
        </w:tc>
        <w:tc>
          <w:tcPr>
            <w:tcW w:w="3409" w:type="dxa"/>
            <w:noWrap/>
            <w:hideMark/>
          </w:tcPr>
          <w:p w:rsidR="00B92D5F" w:rsidRPr="00C64631" w:rsidRDefault="00B92D5F" w:rsidP="00B2059C">
            <w:pPr>
              <w:shd w:val="clear" w:color="auto" w:fill="FFFFFF" w:themeFill="background1"/>
              <w:rPr>
                <w:b/>
                <w:bCs/>
                <w:sz w:val="20"/>
              </w:rPr>
            </w:pPr>
            <w:r w:rsidRPr="00C64631">
              <w:rPr>
                <w:b/>
                <w:bCs/>
                <w:sz w:val="20"/>
              </w:rPr>
              <w:t>Why was the action taken?  (150 words max)</w:t>
            </w:r>
          </w:p>
        </w:tc>
        <w:tc>
          <w:tcPr>
            <w:tcW w:w="3409" w:type="dxa"/>
            <w:noWrap/>
            <w:hideMark/>
          </w:tcPr>
          <w:p w:rsidR="00B92D5F" w:rsidRPr="00C64631" w:rsidRDefault="00B92D5F" w:rsidP="00B2059C">
            <w:pPr>
              <w:shd w:val="clear" w:color="auto" w:fill="FFFFFF" w:themeFill="background1"/>
              <w:rPr>
                <w:b/>
                <w:bCs/>
                <w:sz w:val="20"/>
              </w:rPr>
            </w:pPr>
            <w:r w:rsidRPr="00C64631">
              <w:rPr>
                <w:b/>
                <w:bCs/>
                <w:sz w:val="20"/>
              </w:rPr>
              <w:t>What action was taken? (150 words max)</w:t>
            </w:r>
          </w:p>
        </w:tc>
        <w:tc>
          <w:tcPr>
            <w:tcW w:w="3409" w:type="dxa"/>
            <w:noWrap/>
            <w:hideMark/>
          </w:tcPr>
          <w:p w:rsidR="00B92D5F" w:rsidRPr="00C64631" w:rsidRDefault="00B92D5F" w:rsidP="00B2059C">
            <w:pPr>
              <w:shd w:val="clear" w:color="auto" w:fill="FFFFFF" w:themeFill="background1"/>
              <w:rPr>
                <w:b/>
                <w:bCs/>
                <w:sz w:val="20"/>
              </w:rPr>
            </w:pPr>
            <w:r w:rsidRPr="00C64631">
              <w:rPr>
                <w:b/>
                <w:bCs/>
                <w:sz w:val="20"/>
              </w:rPr>
              <w:t>What was the impact of the action? (150 words max)</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St Sophia's PS</w:t>
            </w:r>
          </w:p>
        </w:tc>
        <w:tc>
          <w:tcPr>
            <w:tcW w:w="3409" w:type="dxa"/>
            <w:shd w:val="clear" w:color="auto" w:fill="FFFFFF" w:themeFill="background1"/>
            <w:noWrap/>
            <w:hideMark/>
          </w:tcPr>
          <w:p w:rsidR="00B92D5F" w:rsidRPr="00C64631" w:rsidRDefault="00B92D5F" w:rsidP="00B2059C">
            <w:pPr>
              <w:shd w:val="clear" w:color="auto" w:fill="FFFFFF" w:themeFill="background1"/>
              <w:rPr>
                <w:sz w:val="20"/>
              </w:rPr>
            </w:pPr>
            <w:r w:rsidRPr="00C64631">
              <w:rPr>
                <w:sz w:val="20"/>
              </w:rPr>
              <w:t>Buzzing About Learning (After School support club)</w:t>
            </w:r>
          </w:p>
        </w:tc>
        <w:tc>
          <w:tcPr>
            <w:tcW w:w="3409" w:type="dxa"/>
            <w:noWrap/>
            <w:hideMark/>
          </w:tcPr>
          <w:p w:rsidR="00B92D5F" w:rsidRPr="00C64631" w:rsidRDefault="00B92D5F" w:rsidP="00B2059C">
            <w:pPr>
              <w:shd w:val="clear" w:color="auto" w:fill="FFFFFF" w:themeFill="background1"/>
              <w:rPr>
                <w:sz w:val="20"/>
              </w:rPr>
            </w:pPr>
            <w:r w:rsidRPr="00C64631">
              <w:rPr>
                <w:sz w:val="20"/>
              </w:rPr>
              <w:t>Staff identified children at risk of not achieving their expected levels of CFE. This was used to provide small group, targeted support to children who were identified in danger of not achieving their CFE level and for children whose H&amp;W was a barrier to their learning.</w:t>
            </w:r>
          </w:p>
        </w:tc>
        <w:tc>
          <w:tcPr>
            <w:tcW w:w="3409" w:type="dxa"/>
            <w:noWrap/>
            <w:hideMark/>
          </w:tcPr>
          <w:p w:rsidR="00B92D5F" w:rsidRPr="00C64631" w:rsidRDefault="00B92D5F" w:rsidP="00B2059C">
            <w:pPr>
              <w:shd w:val="clear" w:color="auto" w:fill="FFFFFF" w:themeFill="background1"/>
              <w:rPr>
                <w:sz w:val="20"/>
              </w:rPr>
            </w:pPr>
            <w:r w:rsidRPr="00C64631">
              <w:rPr>
                <w:sz w:val="20"/>
              </w:rPr>
              <w:t>List made of identified children. Parents/Carers approached for permission to attend the group. Group set up. CA's liaised with class teachers to identify learning to be covered. Small groups worked after school for 1 hour 4 x per week. Friday was assessment and planning.</w:t>
            </w:r>
          </w:p>
        </w:tc>
        <w:tc>
          <w:tcPr>
            <w:tcW w:w="3409" w:type="dxa"/>
            <w:noWrap/>
            <w:hideMark/>
          </w:tcPr>
          <w:p w:rsidR="00B92D5F" w:rsidRPr="00C64631" w:rsidRDefault="00B92D5F" w:rsidP="00B2059C">
            <w:pPr>
              <w:shd w:val="clear" w:color="auto" w:fill="FFFFFF" w:themeFill="background1"/>
              <w:rPr>
                <w:sz w:val="20"/>
              </w:rPr>
            </w:pPr>
            <w:r w:rsidRPr="00C64631">
              <w:rPr>
                <w:sz w:val="20"/>
              </w:rPr>
              <w:t>Greater focus in class. Improved confidence.  Improved H&amp;W. Targets met or overtaken for most children who attended.</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Crosshouse Primary School</w:t>
            </w:r>
          </w:p>
        </w:tc>
        <w:tc>
          <w:tcPr>
            <w:tcW w:w="3409" w:type="dxa"/>
            <w:shd w:val="clear" w:color="auto" w:fill="auto"/>
            <w:noWrap/>
            <w:hideMark/>
          </w:tcPr>
          <w:p w:rsidR="00B92D5F" w:rsidRPr="00C64631" w:rsidRDefault="00B92D5F" w:rsidP="00B2059C">
            <w:pPr>
              <w:shd w:val="clear" w:color="auto" w:fill="FFFFFF" w:themeFill="background1"/>
              <w:rPr>
                <w:sz w:val="20"/>
              </w:rPr>
            </w:pPr>
            <w:r w:rsidRPr="00C64631">
              <w:rPr>
                <w:sz w:val="20"/>
              </w:rPr>
              <w:t>Employment of staff</w:t>
            </w:r>
          </w:p>
        </w:tc>
        <w:tc>
          <w:tcPr>
            <w:tcW w:w="3409" w:type="dxa"/>
            <w:noWrap/>
            <w:hideMark/>
          </w:tcPr>
          <w:p w:rsidR="00B92D5F" w:rsidRPr="00C64631" w:rsidRDefault="00B92D5F" w:rsidP="00B2059C">
            <w:pPr>
              <w:shd w:val="clear" w:color="auto" w:fill="FFFFFF" w:themeFill="background1"/>
              <w:rPr>
                <w:sz w:val="20"/>
              </w:rPr>
            </w:pPr>
            <w:r w:rsidRPr="00C64631">
              <w:rPr>
                <w:sz w:val="20"/>
              </w:rPr>
              <w:t>My school is allocated limited PEF funding. I feel the best resource we have is people.</w:t>
            </w:r>
          </w:p>
        </w:tc>
        <w:tc>
          <w:tcPr>
            <w:tcW w:w="3409" w:type="dxa"/>
            <w:noWrap/>
            <w:hideMark/>
          </w:tcPr>
          <w:p w:rsidR="00B92D5F" w:rsidRPr="00C64631" w:rsidRDefault="00B92D5F" w:rsidP="00B2059C">
            <w:pPr>
              <w:shd w:val="clear" w:color="auto" w:fill="FFFFFF" w:themeFill="background1"/>
              <w:rPr>
                <w:sz w:val="20"/>
              </w:rPr>
            </w:pPr>
            <w:r w:rsidRPr="00C64631">
              <w:rPr>
                <w:sz w:val="20"/>
              </w:rPr>
              <w:t>1FTE classroom assistant mainly to support primary 1 pupils. 0.4 teacher to coordinate and support pupils across the school who have identified ASN</w:t>
            </w:r>
          </w:p>
        </w:tc>
        <w:tc>
          <w:tcPr>
            <w:tcW w:w="3409" w:type="dxa"/>
            <w:noWrap/>
            <w:hideMark/>
          </w:tcPr>
          <w:p w:rsidR="00B92D5F" w:rsidRPr="00C64631" w:rsidRDefault="00B92D5F" w:rsidP="00B2059C">
            <w:pPr>
              <w:shd w:val="clear" w:color="auto" w:fill="FFFFFF" w:themeFill="background1"/>
              <w:rPr>
                <w:sz w:val="20"/>
              </w:rPr>
            </w:pPr>
            <w:r w:rsidRPr="00C64631">
              <w:rPr>
                <w:sz w:val="20"/>
              </w:rPr>
              <w:t>Children in P1 more likely to achieve early level. I feel that having another adult in P1 makes teaching more manageable and children get more quality time with their teacher and CA. I feel wellbeing needs of the children and adults are more easily met with 2 adults present. I won't be using PEF for a teacher again as I need more CA support throughout the school to try to support the ASN need across mainstream part of our school. PEF money in the Communication Centre has been spent on CA support for children mainly on a 1:1 basis.</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St. Joseph's Academy</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PEF Funded Alternative Provision (Similar to Inclusion Hubs but managed internally rather than via EAC). Staffed by a skilled CA now on a seconded higher salary and a colleague. </w:t>
            </w:r>
            <w:r w:rsidRPr="00C64631">
              <w:rPr>
                <w:sz w:val="20"/>
              </w:rPr>
              <w:br/>
            </w:r>
            <w:r w:rsidRPr="00C64631">
              <w:rPr>
                <w:sz w:val="20"/>
              </w:rPr>
              <w:lastRenderedPageBreak/>
              <w:br/>
              <w:t xml:space="preserve">PEF Funded Attendance Assistant - We have long standing pre-covid issues with attendance. Pastoral staff have highest caseload in EAC, and could never get as far as attendance monitoring. Dedicated administrative assistant to work soley on attendance and truancy. Improvement evident pre-covid, now attendance issues at national level make impact look less definite but we believe our figures would have been lower without this post. </w:t>
            </w:r>
          </w:p>
        </w:tc>
        <w:tc>
          <w:tcPr>
            <w:tcW w:w="3409" w:type="dxa"/>
            <w:noWrap/>
            <w:hideMark/>
          </w:tcPr>
          <w:p w:rsidR="00B92D5F" w:rsidRPr="00C64631" w:rsidRDefault="00B92D5F" w:rsidP="00B2059C">
            <w:pPr>
              <w:shd w:val="clear" w:color="auto" w:fill="FFFFFF" w:themeFill="background1"/>
              <w:rPr>
                <w:sz w:val="20"/>
              </w:rPr>
            </w:pPr>
            <w:r w:rsidRPr="00C64631">
              <w:rPr>
                <w:sz w:val="20"/>
              </w:rPr>
              <w:lastRenderedPageBreak/>
              <w:t xml:space="preserve">For the base, high number of pupils unable to access mainstream due to anxiety or emotional issues. High number of placing requests in with similar need. Pre-PEF issues around the number of low attainers. </w:t>
            </w:r>
            <w:r w:rsidRPr="00C64631">
              <w:rPr>
                <w:sz w:val="20"/>
              </w:rPr>
              <w:br/>
            </w:r>
            <w:r w:rsidRPr="00C64631">
              <w:rPr>
                <w:sz w:val="20"/>
              </w:rPr>
              <w:lastRenderedPageBreak/>
              <w:br/>
              <w:t xml:space="preserve">Attendance issues covered above. </w:t>
            </w:r>
          </w:p>
        </w:tc>
        <w:tc>
          <w:tcPr>
            <w:tcW w:w="3409" w:type="dxa"/>
            <w:noWrap/>
            <w:hideMark/>
          </w:tcPr>
          <w:p w:rsidR="00B92D5F" w:rsidRPr="00C64631" w:rsidRDefault="00B92D5F" w:rsidP="00B2059C">
            <w:pPr>
              <w:shd w:val="clear" w:color="auto" w:fill="FFFFFF" w:themeFill="background1"/>
              <w:rPr>
                <w:sz w:val="20"/>
              </w:rPr>
            </w:pPr>
            <w:r w:rsidRPr="00C64631">
              <w:rPr>
                <w:sz w:val="20"/>
              </w:rPr>
              <w:lastRenderedPageBreak/>
              <w:t xml:space="preserve">AP base provides a safe, quiet learning environment. Staff liaise with class teachers and track progress. Decrease in number of zero attainers. Increase in attendance for some non-attenders. </w:t>
            </w:r>
            <w:r w:rsidRPr="00C64631">
              <w:rPr>
                <w:sz w:val="20"/>
              </w:rPr>
              <w:br/>
            </w:r>
            <w:r w:rsidRPr="00C64631">
              <w:rPr>
                <w:sz w:val="20"/>
              </w:rPr>
              <w:lastRenderedPageBreak/>
              <w:br/>
              <w:t>For attendance, to try to address long standing issues.</w:t>
            </w:r>
          </w:p>
        </w:tc>
        <w:tc>
          <w:tcPr>
            <w:tcW w:w="3409" w:type="dxa"/>
            <w:noWrap/>
            <w:hideMark/>
          </w:tcPr>
          <w:p w:rsidR="00B92D5F" w:rsidRPr="00C64631" w:rsidRDefault="00B92D5F" w:rsidP="00B2059C">
            <w:pPr>
              <w:shd w:val="clear" w:color="auto" w:fill="FFFFFF" w:themeFill="background1"/>
              <w:rPr>
                <w:sz w:val="20"/>
              </w:rPr>
            </w:pPr>
            <w:r w:rsidRPr="00C64631">
              <w:rPr>
                <w:sz w:val="20"/>
              </w:rPr>
              <w:lastRenderedPageBreak/>
              <w:t xml:space="preserve">Better attainment for lowest 20% as evidenced on INSIGHT (base). For attendance, improved figures pre-covid to higher than EAC average for first time in a decade. Less </w:t>
            </w:r>
            <w:r w:rsidRPr="00C64631">
              <w:rPr>
                <w:sz w:val="20"/>
              </w:rPr>
              <w:lastRenderedPageBreak/>
              <w:t xml:space="preserve">definite attendance impact since COVID. </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 xml:space="preserve">Park School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Employed an additional teacher to enable Maths recovery intervention to be implemented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Pupils identified by teaching staff as having significant gaps in learning due to illness , developmental delay or extended periods of absences and the need to support the pupils to achieve, while targeting an intervention bespoke to them . The intervention involved the identification , planning , delivery and assessment of the pupils and thus supporting them to achieve in numeracy / maths where they may otherwise of failed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Two staff trained in maths recovery over a 6mths period . A staff member in primary and in secondary . Pupils identified and delivery of the intervention . The PEF funded teacher enabled the trained staff to deliver the intervention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Raised attainment in maths and re engaged pupils in their curriculum reducing barriers to learning </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 xml:space="preserve">Newmilns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Use of PEF to support learning with additional CA cover </w:t>
            </w:r>
            <w:r w:rsidRPr="00C64631">
              <w:rPr>
                <w:sz w:val="20"/>
              </w:rPr>
              <w:br/>
              <w:t xml:space="preserve">Use of PEF to support development of literacy and numeracy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Need to support individuals and targeted groups </w:t>
            </w:r>
          </w:p>
        </w:tc>
        <w:tc>
          <w:tcPr>
            <w:tcW w:w="3409" w:type="dxa"/>
            <w:noWrap/>
            <w:hideMark/>
          </w:tcPr>
          <w:p w:rsidR="00B92D5F" w:rsidRPr="00C64631" w:rsidRDefault="00B92D5F" w:rsidP="00B2059C">
            <w:pPr>
              <w:shd w:val="clear" w:color="auto" w:fill="FFFFFF" w:themeFill="background1"/>
              <w:rPr>
                <w:sz w:val="20"/>
              </w:rPr>
            </w:pPr>
            <w:r w:rsidRPr="00C64631">
              <w:rPr>
                <w:sz w:val="20"/>
              </w:rPr>
              <w:t>Support with the creation of our Learning Lab (also supported centrally)</w:t>
            </w:r>
            <w:r w:rsidRPr="00C64631">
              <w:rPr>
                <w:sz w:val="20"/>
              </w:rPr>
              <w:br/>
              <w:t xml:space="preserve">Targeted interventions e.g. spelling extra, working memory </w:t>
            </w:r>
            <w:r w:rsidRPr="00C64631">
              <w:rPr>
                <w:sz w:val="20"/>
              </w:rPr>
              <w:br/>
              <w:t xml:space="preserve">Targeted Support for reading and phonics </w:t>
            </w:r>
            <w:r w:rsidRPr="00C64631">
              <w:rPr>
                <w:sz w:val="20"/>
              </w:rPr>
              <w:br/>
            </w:r>
            <w:r w:rsidRPr="00C64631">
              <w:rPr>
                <w:sz w:val="20"/>
              </w:rPr>
              <w:br/>
              <w:t xml:space="preserve">Purchase of resources to support improved pedagogy </w:t>
            </w:r>
          </w:p>
        </w:tc>
        <w:tc>
          <w:tcPr>
            <w:tcW w:w="3409" w:type="dxa"/>
            <w:noWrap/>
            <w:hideMark/>
          </w:tcPr>
          <w:p w:rsidR="00B92D5F" w:rsidRPr="00C64631" w:rsidRDefault="00B92D5F" w:rsidP="00B2059C">
            <w:pPr>
              <w:shd w:val="clear" w:color="auto" w:fill="FFFFFF" w:themeFill="background1"/>
              <w:rPr>
                <w:sz w:val="20"/>
              </w:rPr>
            </w:pPr>
            <w:r w:rsidRPr="00C64631">
              <w:rPr>
                <w:sz w:val="20"/>
              </w:rPr>
              <w:t>Meaningful inclusion, supporting children in mainstream to be more regulated and ready to learn.  Less disruption in classes meaning that other children are able to learn and progress better.    Positive impact on progress amongst targeted children.</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lastRenderedPageBreak/>
              <w:t>Dunlop Primary &amp; ECC</w:t>
            </w:r>
          </w:p>
        </w:tc>
        <w:tc>
          <w:tcPr>
            <w:tcW w:w="3409" w:type="dxa"/>
            <w:noWrap/>
            <w:hideMark/>
          </w:tcPr>
          <w:p w:rsidR="00B92D5F" w:rsidRPr="00C64631" w:rsidRDefault="00B92D5F" w:rsidP="00B2059C">
            <w:pPr>
              <w:shd w:val="clear" w:color="auto" w:fill="FFFFFF" w:themeFill="background1"/>
              <w:rPr>
                <w:sz w:val="20"/>
              </w:rPr>
            </w:pPr>
            <w:r w:rsidRPr="00C64631">
              <w:rPr>
                <w:sz w:val="20"/>
              </w:rPr>
              <w:t>We have a very small amount of PEF which we have tried to use in a variety of ways. In order to recognise pupils who may be affected by poverty, we have had to widen our PEF cohort to pupils within the six family types. This year, we have mainly focused the bulk of our PEF on well being across the school.</w:t>
            </w:r>
          </w:p>
        </w:tc>
        <w:tc>
          <w:tcPr>
            <w:tcW w:w="3409" w:type="dxa"/>
            <w:noWrap/>
            <w:hideMark/>
          </w:tcPr>
          <w:p w:rsidR="00B92D5F" w:rsidRPr="00C64631" w:rsidRDefault="00B92D5F" w:rsidP="00B2059C">
            <w:pPr>
              <w:shd w:val="clear" w:color="auto" w:fill="FFFFFF" w:themeFill="background1"/>
              <w:rPr>
                <w:sz w:val="20"/>
              </w:rPr>
            </w:pPr>
            <w:r w:rsidRPr="00C64631">
              <w:rPr>
                <w:sz w:val="20"/>
              </w:rPr>
              <w:t>Our focus on well being was brought about by feedback from staff that pupils across the school were struggling with resilience and emotional literacy especially since the return to school from the pandemic. An increase in referrals to CAMHS and The Exchange Counselling as well as parental concerns about children's well being was notable. Glasgow Wellbeing Web also identified areas of concern for individual children and cohorts.</w:t>
            </w:r>
          </w:p>
        </w:tc>
        <w:tc>
          <w:tcPr>
            <w:tcW w:w="3409" w:type="dxa"/>
            <w:noWrap/>
            <w:hideMark/>
          </w:tcPr>
          <w:p w:rsidR="00B92D5F" w:rsidRPr="00C64631" w:rsidRDefault="00B92D5F" w:rsidP="00B2059C">
            <w:pPr>
              <w:shd w:val="clear" w:color="auto" w:fill="FFFFFF" w:themeFill="background1"/>
              <w:rPr>
                <w:sz w:val="20"/>
              </w:rPr>
            </w:pPr>
            <w:r w:rsidRPr="00C64631">
              <w:rPr>
                <w:sz w:val="20"/>
              </w:rPr>
              <w:t>PEF funded Principal Teacher with a lead remit in H&amp;WB. We introduced Emotion Works across the school, check-ins for identified pupils and created a 'Lavender Room' for use when children were feeling dysregulated/upset etc. We complete the Glasgow Wellbeing Profile across the school and use of interventions such as Children's First Kit Bag, The Exchange resources, Massage in Schools and classroom assistant support for identified children.</w:t>
            </w:r>
          </w:p>
        </w:tc>
        <w:tc>
          <w:tcPr>
            <w:tcW w:w="3409" w:type="dxa"/>
            <w:noWrap/>
            <w:hideMark/>
          </w:tcPr>
          <w:p w:rsidR="00B92D5F" w:rsidRPr="00C64631" w:rsidRDefault="00B92D5F" w:rsidP="00B2059C">
            <w:pPr>
              <w:shd w:val="clear" w:color="auto" w:fill="FFFFFF" w:themeFill="background1"/>
              <w:rPr>
                <w:sz w:val="20"/>
              </w:rPr>
            </w:pPr>
            <w:r w:rsidRPr="00C64631">
              <w:rPr>
                <w:sz w:val="20"/>
              </w:rPr>
              <w:t>Focus on well being is more embedded within the school. Children are more able to speak about their feelings and articulate triggers &amp; behaviours. Children receiving regular check ins are now requiring this less so.</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Stewarton Academy</w:t>
            </w:r>
          </w:p>
        </w:tc>
        <w:tc>
          <w:tcPr>
            <w:tcW w:w="3409" w:type="dxa"/>
            <w:noWrap/>
            <w:hideMark/>
          </w:tcPr>
          <w:p w:rsidR="00B92D5F" w:rsidRPr="00C64631" w:rsidRDefault="00B92D5F" w:rsidP="00B2059C">
            <w:pPr>
              <w:shd w:val="clear" w:color="auto" w:fill="FFFFFF" w:themeFill="background1"/>
              <w:rPr>
                <w:sz w:val="20"/>
              </w:rPr>
            </w:pPr>
            <w:r w:rsidRPr="00C64631">
              <w:rPr>
                <w:sz w:val="20"/>
              </w:rPr>
              <w:t>Enhanced support provision</w:t>
            </w:r>
          </w:p>
        </w:tc>
        <w:tc>
          <w:tcPr>
            <w:tcW w:w="3409" w:type="dxa"/>
            <w:noWrap/>
            <w:hideMark/>
          </w:tcPr>
          <w:p w:rsidR="00B92D5F" w:rsidRPr="00C64631" w:rsidRDefault="00B92D5F" w:rsidP="00B2059C">
            <w:pPr>
              <w:shd w:val="clear" w:color="auto" w:fill="FFFFFF" w:themeFill="background1"/>
              <w:rPr>
                <w:sz w:val="20"/>
              </w:rPr>
            </w:pPr>
            <w:r w:rsidRPr="00C64631">
              <w:rPr>
                <w:sz w:val="20"/>
              </w:rPr>
              <w:t>A number of vulnerable pupils have struggled to engage with school following lockdowns. Mental wellbeing concerns and low self esteem result in non engagement in learning for a growing number of pupils. A focus on raising attainment was not our only priority but to support vulnerable pupils wellbeing was an important priority. There was a clear link between pupils impacted by poverty and non engagement.</w:t>
            </w:r>
          </w:p>
        </w:tc>
        <w:tc>
          <w:tcPr>
            <w:tcW w:w="3409" w:type="dxa"/>
            <w:noWrap/>
            <w:hideMark/>
          </w:tcPr>
          <w:p w:rsidR="00B92D5F" w:rsidRPr="00C64631" w:rsidRDefault="00B92D5F" w:rsidP="00B2059C">
            <w:pPr>
              <w:shd w:val="clear" w:color="auto" w:fill="FFFFFF" w:themeFill="background1"/>
              <w:rPr>
                <w:sz w:val="20"/>
              </w:rPr>
            </w:pPr>
            <w:r w:rsidRPr="00C64631">
              <w:rPr>
                <w:sz w:val="20"/>
              </w:rPr>
              <w:t>A range of enhanced support packages were developed to meet the individuals needs of identified pupils:</w:t>
            </w:r>
            <w:r w:rsidRPr="00C64631">
              <w:rPr>
                <w:sz w:val="20"/>
              </w:rPr>
              <w:br/>
              <w:t xml:space="preserve">For pupils not able to come into the building, online individual and group lessons were delivered by key staff on English, maths, history and Scottish Studies. In one case a pupil was supported in French and Spanish. </w:t>
            </w:r>
            <w:r w:rsidRPr="00C64631">
              <w:rPr>
                <w:sz w:val="20"/>
              </w:rPr>
              <w:br/>
            </w:r>
            <w:r w:rsidRPr="00C64631">
              <w:rPr>
                <w:sz w:val="20"/>
              </w:rPr>
              <w:br/>
              <w:t>A number of pupils did not engage with online sessions and support was given on an individual basis through hard copies of material sent home, telephone and home visit support.</w:t>
            </w:r>
            <w:r w:rsidRPr="00C64631">
              <w:rPr>
                <w:sz w:val="20"/>
              </w:rPr>
              <w:br/>
            </w:r>
            <w:r w:rsidRPr="00C64631">
              <w:rPr>
                <w:sz w:val="20"/>
              </w:rPr>
              <w:br/>
              <w:t>Individual and small group lessons were delivered in school for those who could attend on a part time basis but not in a whole class setting. These were delivered in our HIVE support base.</w:t>
            </w:r>
            <w:r w:rsidRPr="00C64631">
              <w:rPr>
                <w:sz w:val="20"/>
              </w:rPr>
              <w:br/>
            </w:r>
            <w:r w:rsidRPr="00C64631">
              <w:rPr>
                <w:sz w:val="20"/>
              </w:rPr>
              <w:lastRenderedPageBreak/>
              <w:br/>
              <w:t>PEF funding also allowed support within classes by supporting individuals and groups across the curriculum.</w:t>
            </w:r>
          </w:p>
        </w:tc>
        <w:tc>
          <w:tcPr>
            <w:tcW w:w="3409" w:type="dxa"/>
            <w:noWrap/>
            <w:hideMark/>
          </w:tcPr>
          <w:p w:rsidR="00B92D5F" w:rsidRPr="00C64631" w:rsidRDefault="00B92D5F" w:rsidP="00B2059C">
            <w:pPr>
              <w:shd w:val="clear" w:color="auto" w:fill="FFFFFF" w:themeFill="background1"/>
              <w:rPr>
                <w:sz w:val="20"/>
              </w:rPr>
            </w:pPr>
            <w:r w:rsidRPr="00C64631">
              <w:rPr>
                <w:sz w:val="20"/>
              </w:rPr>
              <w:lastRenderedPageBreak/>
              <w:t>S4 Pupils who would have attained no awards this session will now achieve N4 English, N4 maths, N4 Scottish Studies. S3 pupils have engaged with lessons in school which ensures contact and motivation for responsibility for learning. One young man who was not leaving the house in August 22 has now applied to College for August 23 and has a weekend job through improving his self confidence and self worth in this programme.  One S4 girl has commented she now has a purpose to life by attending these online sessions and will have 6 N4 awards and 2 N5 units. Class support ensured gaps in learning and engagement resulting from lockdown were addressed and limited the impact of inequality in poverty.</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Whatriggs Primary School</w:t>
            </w:r>
          </w:p>
        </w:tc>
        <w:tc>
          <w:tcPr>
            <w:tcW w:w="3409" w:type="dxa"/>
            <w:noWrap/>
            <w:hideMark/>
          </w:tcPr>
          <w:p w:rsidR="00B92D5F" w:rsidRPr="00C64631" w:rsidRDefault="00B92D5F" w:rsidP="00B2059C">
            <w:pPr>
              <w:shd w:val="clear" w:color="auto" w:fill="FFFFFF" w:themeFill="background1"/>
              <w:rPr>
                <w:sz w:val="20"/>
              </w:rPr>
            </w:pPr>
            <w:r w:rsidRPr="00C64631">
              <w:rPr>
                <w:sz w:val="20"/>
              </w:rPr>
              <w:t>1.Nurture &amp; Social Communications Support</w:t>
            </w:r>
            <w:r w:rsidRPr="00C64631">
              <w:rPr>
                <w:sz w:val="20"/>
              </w:rPr>
              <w:br/>
              <w:t>2.Blueprint Numeracy</w:t>
            </w:r>
          </w:p>
        </w:tc>
        <w:tc>
          <w:tcPr>
            <w:tcW w:w="3409" w:type="dxa"/>
            <w:noWrap/>
            <w:hideMark/>
          </w:tcPr>
          <w:p w:rsidR="00B92D5F" w:rsidRPr="00C64631" w:rsidRDefault="00B92D5F" w:rsidP="00B2059C">
            <w:pPr>
              <w:shd w:val="clear" w:color="auto" w:fill="FFFFFF" w:themeFill="background1"/>
              <w:rPr>
                <w:sz w:val="20"/>
              </w:rPr>
            </w:pPr>
            <w:r w:rsidRPr="00C64631">
              <w:rPr>
                <w:sz w:val="20"/>
              </w:rPr>
              <w:t>1. No additional space in school but need was great for Nurture.</w:t>
            </w:r>
            <w:r w:rsidRPr="00C64631">
              <w:rPr>
                <w:sz w:val="20"/>
              </w:rPr>
              <w:br/>
              <w:t>2. Parental engagement and mindset around numeracy was low and fixed.</w:t>
            </w:r>
          </w:p>
        </w:tc>
        <w:tc>
          <w:tcPr>
            <w:tcW w:w="3409" w:type="dxa"/>
            <w:noWrap/>
            <w:hideMark/>
          </w:tcPr>
          <w:p w:rsidR="00B92D5F" w:rsidRPr="00C64631" w:rsidRDefault="00B92D5F" w:rsidP="00B2059C">
            <w:pPr>
              <w:shd w:val="clear" w:color="auto" w:fill="FFFFFF" w:themeFill="background1"/>
              <w:rPr>
                <w:sz w:val="20"/>
              </w:rPr>
            </w:pPr>
            <w:r w:rsidRPr="00C64631">
              <w:rPr>
                <w:sz w:val="20"/>
              </w:rPr>
              <w:t>1. Created bespoke School nurture groups with no set base but integrating outdoor ed and peer mentoring etc covering P1 - 7 pupils including parent sessions and lunch clubs etc.</w:t>
            </w:r>
            <w:r w:rsidRPr="00C64631">
              <w:rPr>
                <w:sz w:val="20"/>
              </w:rPr>
              <w:br/>
              <w:t>2.Trained staff in use of Blueprint boards then invited parents to engage with their children in a learning session</w:t>
            </w:r>
          </w:p>
        </w:tc>
        <w:tc>
          <w:tcPr>
            <w:tcW w:w="3409" w:type="dxa"/>
            <w:noWrap/>
            <w:hideMark/>
          </w:tcPr>
          <w:p w:rsidR="00B92D5F" w:rsidRPr="00C64631" w:rsidRDefault="00B92D5F" w:rsidP="00B2059C">
            <w:pPr>
              <w:shd w:val="clear" w:color="auto" w:fill="FFFFFF" w:themeFill="background1"/>
              <w:rPr>
                <w:sz w:val="20"/>
              </w:rPr>
            </w:pPr>
            <w:r w:rsidRPr="00C64631">
              <w:rPr>
                <w:sz w:val="20"/>
              </w:rPr>
              <w:t>1. Increase in the number of pupils supported and fully sustainable system. 2. Increased levels of parental engagement and enthusiasm around maths.</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Grange Academy</w:t>
            </w:r>
          </w:p>
        </w:tc>
        <w:tc>
          <w:tcPr>
            <w:tcW w:w="3409" w:type="dxa"/>
            <w:noWrap/>
            <w:hideMark/>
          </w:tcPr>
          <w:p w:rsidR="00B92D5F" w:rsidRPr="00C64631" w:rsidRDefault="00B92D5F" w:rsidP="00B2059C">
            <w:pPr>
              <w:shd w:val="clear" w:color="auto" w:fill="FFFFFF" w:themeFill="background1"/>
              <w:rPr>
                <w:sz w:val="20"/>
              </w:rPr>
            </w:pPr>
            <w:r w:rsidRPr="00C64631">
              <w:rPr>
                <w:sz w:val="20"/>
              </w:rPr>
              <w:t>Literacy Support Programme</w:t>
            </w:r>
          </w:p>
        </w:tc>
        <w:tc>
          <w:tcPr>
            <w:tcW w:w="3409" w:type="dxa"/>
            <w:noWrap/>
            <w:hideMark/>
          </w:tcPr>
          <w:p w:rsidR="00B92D5F" w:rsidRPr="00C64631" w:rsidRDefault="00B92D5F" w:rsidP="00B2059C">
            <w:pPr>
              <w:shd w:val="clear" w:color="auto" w:fill="FFFFFF" w:themeFill="background1"/>
              <w:rPr>
                <w:sz w:val="20"/>
              </w:rPr>
            </w:pPr>
            <w:r w:rsidRPr="00C64631">
              <w:rPr>
                <w:sz w:val="20"/>
              </w:rPr>
              <w:t>Our analysis highlighted that pupils transitioning from P7 into S1 were attaining lower than expected literacy levels; this also articulated with East Ayrshire ACEL levels for P4 and P7.</w:t>
            </w:r>
          </w:p>
        </w:tc>
        <w:tc>
          <w:tcPr>
            <w:tcW w:w="3409" w:type="dxa"/>
            <w:noWrap/>
            <w:hideMark/>
          </w:tcPr>
          <w:p w:rsidR="00B92D5F" w:rsidRPr="00C64631" w:rsidRDefault="00B92D5F" w:rsidP="00B2059C">
            <w:pPr>
              <w:shd w:val="clear" w:color="auto" w:fill="FFFFFF" w:themeFill="background1"/>
              <w:rPr>
                <w:sz w:val="20"/>
              </w:rPr>
            </w:pPr>
            <w:r w:rsidRPr="00C64631">
              <w:rPr>
                <w:sz w:val="20"/>
              </w:rPr>
              <w:t>Employment of a Primary Teacher.  The Teacher teaches 27 periods a week and takes small groups (maximum 8 pupils) of pupils to enhance their literacy skills across the academic session.</w:t>
            </w:r>
          </w:p>
        </w:tc>
        <w:tc>
          <w:tcPr>
            <w:tcW w:w="3409" w:type="dxa"/>
            <w:noWrap/>
            <w:hideMark/>
          </w:tcPr>
          <w:p w:rsidR="00B92D5F" w:rsidRPr="00C64631" w:rsidRDefault="00B92D5F" w:rsidP="00B2059C">
            <w:pPr>
              <w:shd w:val="clear" w:color="auto" w:fill="FFFFFF" w:themeFill="background1"/>
              <w:rPr>
                <w:sz w:val="20"/>
              </w:rPr>
            </w:pPr>
            <w:r w:rsidRPr="00C64631">
              <w:rPr>
                <w:sz w:val="20"/>
              </w:rPr>
              <w:t>Attainment - improvement in attainment across all literacy aspects for all pupils.  Health &amp; Wellbeing - small support groups assisted with transition and helped to formulate and develop peer/peer and pupil/teacher relationships.</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 xml:space="preserve">St. Patrick's PS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P7/S1 Transitions  - Funded transport for visits through the current session.  As P6s visited in June 2022, visits throughout 2022/23 (6 part-day visits as individual school, 5 full-day visits as Education group), Funded £150 towards every P7 for residential and fully funded 2 individual pupils. </w:t>
            </w:r>
            <w:r w:rsidRPr="00C64631">
              <w:rPr>
                <w:sz w:val="20"/>
              </w:rPr>
              <w:br/>
            </w:r>
            <w:r w:rsidRPr="00C64631">
              <w:rPr>
                <w:sz w:val="20"/>
              </w:rPr>
              <w:br/>
              <w:t>H &amp; WB  - in partnership with 'Over the Rainbow' funded after school club for P2, P3, P4, funding use of Auchinleck Leisure Centre, 1 x weekly for after-school football</w:t>
            </w:r>
            <w:r w:rsidRPr="00C64631">
              <w:rPr>
                <w:sz w:val="20"/>
              </w:rPr>
              <w:br/>
            </w:r>
            <w:r w:rsidRPr="00C64631">
              <w:rPr>
                <w:sz w:val="20"/>
              </w:rPr>
              <w:br/>
              <w:t xml:space="preserve">Breakfast club - funding 2 x staff </w:t>
            </w:r>
            <w:r w:rsidRPr="00C64631">
              <w:rPr>
                <w:sz w:val="20"/>
              </w:rPr>
              <w:lastRenderedPageBreak/>
              <w:t>and food costs for all on FSM</w:t>
            </w:r>
            <w:r w:rsidRPr="00C64631">
              <w:rPr>
                <w:sz w:val="20"/>
              </w:rPr>
              <w:br/>
            </w:r>
            <w:r w:rsidRPr="00C64631">
              <w:rPr>
                <w:sz w:val="20"/>
              </w:rPr>
              <w:br/>
              <w:t xml:space="preserve">CA - 27.5 hours - targeted intervention for identified pupils </w:t>
            </w:r>
            <w:r w:rsidRPr="00C64631">
              <w:rPr>
                <w:sz w:val="20"/>
              </w:rPr>
              <w:br/>
            </w:r>
            <w:r w:rsidRPr="00C64631">
              <w:rPr>
                <w:sz w:val="20"/>
              </w:rPr>
              <w:br/>
              <w:t>Expressive Arts - in school performance from theatre company, transport and tickets for theatre visit</w:t>
            </w:r>
            <w:r w:rsidRPr="00C64631">
              <w:rPr>
                <w:sz w:val="20"/>
              </w:rPr>
              <w:br/>
            </w:r>
            <w:r w:rsidRPr="00C64631">
              <w:rPr>
                <w:sz w:val="20"/>
              </w:rPr>
              <w:br/>
              <w:t xml:space="preserve">Digital Subscriptions - dggold, sumdog, times table rockstars, </w:t>
            </w:r>
            <w:r w:rsidRPr="00C64631">
              <w:rPr>
                <w:sz w:val="20"/>
              </w:rPr>
              <w:br/>
            </w:r>
            <w:r w:rsidRPr="00C64631">
              <w:rPr>
                <w:sz w:val="20"/>
              </w:rPr>
              <w:br/>
              <w:t>Staff Training - 2 x MISP, cover for 2 x staff nurture training, cover 1 x staff resilience framework</w:t>
            </w:r>
          </w:p>
        </w:tc>
        <w:tc>
          <w:tcPr>
            <w:tcW w:w="3409" w:type="dxa"/>
            <w:noWrap/>
            <w:hideMark/>
          </w:tcPr>
          <w:p w:rsidR="00B92D5F" w:rsidRPr="00C64631" w:rsidRDefault="00B92D5F" w:rsidP="00B2059C">
            <w:pPr>
              <w:shd w:val="clear" w:color="auto" w:fill="FFFFFF" w:themeFill="background1"/>
              <w:rPr>
                <w:sz w:val="20"/>
              </w:rPr>
            </w:pPr>
            <w:r w:rsidRPr="00C64631">
              <w:rPr>
                <w:sz w:val="20"/>
              </w:rPr>
              <w:lastRenderedPageBreak/>
              <w:t xml:space="preserve">Staff Training - long-term investment to ensure we are building staff capacity in meeting learners' needs by creating an ethos where relationships and emotional well-being ensures a safe learning environment for all pupils to reach their full potential.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Two members of staff completed MISP instructor training and will deliver 6 sessions in each class to allow the CT to embed MISP into weekly routines as a tool for regulating learners.  Family sessions will be delivered with parents/carers to allow families to experience the benefits and takeaway ideas for supporting bedtime routines and enhancing family relationships.   Two members of staff completed 4 days nurture training (1 CA &amp; 1CT) this will allow for the needs of learners' with trauma experiences to be met by skilled and knowledgeable staff.  1 </w:t>
            </w:r>
            <w:r w:rsidRPr="00C64631">
              <w:rPr>
                <w:sz w:val="20"/>
              </w:rPr>
              <w:lastRenderedPageBreak/>
              <w:t xml:space="preserve">x member of staff completed resilience training with The Exchange.  This will allow for 1 to 1 interventions for identified children where poverty-related issues have led to well being needs. </w:t>
            </w:r>
          </w:p>
        </w:tc>
        <w:tc>
          <w:tcPr>
            <w:tcW w:w="3409" w:type="dxa"/>
            <w:noWrap/>
            <w:hideMark/>
          </w:tcPr>
          <w:p w:rsidR="00B92D5F" w:rsidRPr="00C64631" w:rsidRDefault="00B92D5F" w:rsidP="00B2059C">
            <w:pPr>
              <w:shd w:val="clear" w:color="auto" w:fill="FFFFFF" w:themeFill="background1"/>
              <w:rPr>
                <w:sz w:val="20"/>
              </w:rPr>
            </w:pPr>
            <w:r w:rsidRPr="00C64631">
              <w:rPr>
                <w:sz w:val="20"/>
              </w:rPr>
              <w:lastRenderedPageBreak/>
              <w:t xml:space="preserve">Impact Data still being collated </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Gargieston Primary School</w:t>
            </w:r>
          </w:p>
        </w:tc>
        <w:tc>
          <w:tcPr>
            <w:tcW w:w="3409" w:type="dxa"/>
            <w:noWrap/>
            <w:hideMark/>
          </w:tcPr>
          <w:p w:rsidR="00B92D5F" w:rsidRPr="00C64631" w:rsidRDefault="00B92D5F" w:rsidP="00B2059C">
            <w:pPr>
              <w:shd w:val="clear" w:color="auto" w:fill="FFFFFF" w:themeFill="background1"/>
              <w:rPr>
                <w:sz w:val="20"/>
              </w:rPr>
            </w:pPr>
            <w:r w:rsidRPr="00C64631">
              <w:rPr>
                <w:sz w:val="20"/>
              </w:rPr>
              <w:t>Funding additional Support Staff to provide targeted support</w:t>
            </w:r>
          </w:p>
        </w:tc>
        <w:tc>
          <w:tcPr>
            <w:tcW w:w="3409" w:type="dxa"/>
            <w:noWrap/>
            <w:hideMark/>
          </w:tcPr>
          <w:p w:rsidR="00B92D5F" w:rsidRPr="00C64631" w:rsidRDefault="00B92D5F" w:rsidP="00B2059C">
            <w:pPr>
              <w:shd w:val="clear" w:color="auto" w:fill="FFFFFF" w:themeFill="background1"/>
              <w:rPr>
                <w:sz w:val="20"/>
              </w:rPr>
            </w:pPr>
            <w:r w:rsidRPr="00C64631">
              <w:rPr>
                <w:sz w:val="20"/>
              </w:rPr>
              <w:t>Our core allocation of Support Staff was insufficient to provide adequate support for the large number of children who required this.  We had large numbers of children who were not on track with their learning and also large numbers of children who required targeted wellbeing support and an alternative to the playground during lunchtimes.</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We employed 2 full time members of support staff through PEF.  We invested in training for these staff to upskill them in supporting literacy and numeracy using interventions such as the 5-minute box.  </w:t>
            </w:r>
            <w:r w:rsidRPr="00C64631">
              <w:rPr>
                <w:sz w:val="20"/>
              </w:rPr>
              <w:br/>
              <w:t xml:space="preserve">We also organised a programme of lunch clubs for targeted children to provide calm, quiet areas as an alternative to the playground for children.  </w:t>
            </w:r>
          </w:p>
        </w:tc>
        <w:tc>
          <w:tcPr>
            <w:tcW w:w="3409" w:type="dxa"/>
            <w:noWrap/>
            <w:hideMark/>
          </w:tcPr>
          <w:p w:rsidR="00B92D5F" w:rsidRPr="00C64631" w:rsidRDefault="00B92D5F" w:rsidP="00B2059C">
            <w:pPr>
              <w:shd w:val="clear" w:color="auto" w:fill="FFFFFF" w:themeFill="background1"/>
              <w:rPr>
                <w:sz w:val="20"/>
              </w:rPr>
            </w:pPr>
            <w:r w:rsidRPr="00C64631">
              <w:rPr>
                <w:sz w:val="20"/>
              </w:rPr>
              <w:t>Improved attainment for targeted children, fewer incidents in the playground of children becoming distressed/overwhelmed by the environment, calmer and more productive afternoons in class following lunch clubs.</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Hillhead Primary School</w:t>
            </w:r>
          </w:p>
        </w:tc>
        <w:tc>
          <w:tcPr>
            <w:tcW w:w="3409" w:type="dxa"/>
            <w:noWrap/>
            <w:hideMark/>
          </w:tcPr>
          <w:p w:rsidR="00B92D5F" w:rsidRPr="00C64631" w:rsidRDefault="00B92D5F" w:rsidP="00B2059C">
            <w:pPr>
              <w:shd w:val="clear" w:color="auto" w:fill="FFFFFF" w:themeFill="background1"/>
              <w:rPr>
                <w:sz w:val="20"/>
              </w:rPr>
            </w:pPr>
            <w:r w:rsidRPr="00C64631">
              <w:rPr>
                <w:sz w:val="20"/>
              </w:rPr>
              <w:t>Nurture and Raising Attainment groups</w:t>
            </w:r>
          </w:p>
        </w:tc>
        <w:tc>
          <w:tcPr>
            <w:tcW w:w="3409" w:type="dxa"/>
            <w:noWrap/>
            <w:hideMark/>
          </w:tcPr>
          <w:p w:rsidR="00B92D5F" w:rsidRPr="00C64631" w:rsidRDefault="00B92D5F" w:rsidP="00B2059C">
            <w:pPr>
              <w:shd w:val="clear" w:color="auto" w:fill="FFFFFF" w:themeFill="background1"/>
              <w:rPr>
                <w:sz w:val="20"/>
              </w:rPr>
            </w:pPr>
            <w:r w:rsidRPr="00C64631">
              <w:rPr>
                <w:sz w:val="20"/>
              </w:rPr>
              <w:t>At Hillhead Primary School, 73% of our school population live in SIMD areas 1 and 2. Subsequently there is a wide variety of need for support and challenge throughout our school. Information and data has shown that both wellbeing and attainment are areas which require intervention for particular groups through the school.</w:t>
            </w:r>
          </w:p>
        </w:tc>
        <w:tc>
          <w:tcPr>
            <w:tcW w:w="3409" w:type="dxa"/>
            <w:noWrap/>
            <w:hideMark/>
          </w:tcPr>
          <w:p w:rsidR="00B92D5F" w:rsidRPr="00C64631" w:rsidRDefault="00B92D5F" w:rsidP="00B2059C">
            <w:pPr>
              <w:shd w:val="clear" w:color="auto" w:fill="FFFFFF" w:themeFill="background1"/>
              <w:rPr>
                <w:sz w:val="20"/>
              </w:rPr>
            </w:pPr>
            <w:r w:rsidRPr="00C64631">
              <w:rPr>
                <w:sz w:val="20"/>
              </w:rPr>
              <w:t>Funds have been used to allow the creation of a Nurture Provision and a Raising Attainment programme. The Nurture provision follows a traditional model of P1-2 pupils working in a specialist environment,  'The Cocoon', 4 mornings per week with a trained Nurture Teacher and Classroom Assistant. Pupils spend each afternoon, and full day on a Friday,  in their own classes.</w:t>
            </w:r>
            <w:r w:rsidRPr="00C64631">
              <w:rPr>
                <w:sz w:val="20"/>
              </w:rPr>
              <w:br/>
              <w:t xml:space="preserve">A Raising Attainment programme was developed which initially </w:t>
            </w:r>
            <w:r w:rsidRPr="00C64631">
              <w:rPr>
                <w:sz w:val="20"/>
              </w:rPr>
              <w:lastRenderedPageBreak/>
              <w:t xml:space="preserve">involved one Class Teacher working with targeted groups of pupils from P1-P3. This group work in an room called 'The Hive'. In the second half of the year we have been able to develop an upper school Raising Attainment provision. </w:t>
            </w:r>
          </w:p>
        </w:tc>
        <w:tc>
          <w:tcPr>
            <w:tcW w:w="3409" w:type="dxa"/>
            <w:noWrap/>
            <w:hideMark/>
          </w:tcPr>
          <w:p w:rsidR="00B92D5F" w:rsidRPr="00C64631" w:rsidRDefault="00B92D5F" w:rsidP="00B2059C">
            <w:pPr>
              <w:shd w:val="clear" w:color="auto" w:fill="FFFFFF" w:themeFill="background1"/>
              <w:rPr>
                <w:sz w:val="20"/>
              </w:rPr>
            </w:pPr>
            <w:r w:rsidRPr="00C64631">
              <w:rPr>
                <w:sz w:val="20"/>
              </w:rPr>
              <w:lastRenderedPageBreak/>
              <w:t xml:space="preserve">The Nurture group has been successful in improving attendance, social skills, confidence, relationship building skills and overall wellbeing. This has had a subsequent impact on how pupils are able to interact with others in their main class environment. Our Raising Attainment programme is helping pupils to either get back on track with learning or close gaps which have arisen due to absence, family issues, COVID or other </w:t>
            </w:r>
            <w:r w:rsidRPr="00C64631">
              <w:rPr>
                <w:sz w:val="20"/>
              </w:rPr>
              <w:lastRenderedPageBreak/>
              <w:t xml:space="preserve">factors.  These improvement are helping pupils overall confidence and wellbeing as well as their ability to access other areas of the curriculum. </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lastRenderedPageBreak/>
              <w:t>Willowbank</w:t>
            </w:r>
          </w:p>
        </w:tc>
        <w:tc>
          <w:tcPr>
            <w:tcW w:w="3409" w:type="dxa"/>
            <w:noWrap/>
            <w:hideMark/>
          </w:tcPr>
          <w:p w:rsidR="00B92D5F" w:rsidRPr="00C64631" w:rsidRDefault="00B92D5F" w:rsidP="00B2059C">
            <w:pPr>
              <w:shd w:val="clear" w:color="auto" w:fill="FFFFFF" w:themeFill="background1"/>
              <w:rPr>
                <w:sz w:val="20"/>
              </w:rPr>
            </w:pPr>
            <w:r w:rsidRPr="00C64631">
              <w:rPr>
                <w:sz w:val="20"/>
              </w:rPr>
              <w:t>Health and Wellbeing Specialist</w:t>
            </w:r>
          </w:p>
        </w:tc>
        <w:tc>
          <w:tcPr>
            <w:tcW w:w="3409" w:type="dxa"/>
            <w:noWrap/>
            <w:hideMark/>
          </w:tcPr>
          <w:p w:rsidR="00B92D5F" w:rsidRPr="00C64631" w:rsidRDefault="00B92D5F" w:rsidP="00B2059C">
            <w:pPr>
              <w:shd w:val="clear" w:color="auto" w:fill="FFFFFF" w:themeFill="background1"/>
              <w:rPr>
                <w:sz w:val="20"/>
              </w:rPr>
            </w:pPr>
            <w:r w:rsidRPr="00C64631">
              <w:rPr>
                <w:sz w:val="20"/>
              </w:rPr>
              <w:t>To support and engage families post Covid</w:t>
            </w:r>
            <w:r w:rsidRPr="00C64631">
              <w:rPr>
                <w:sz w:val="20"/>
              </w:rPr>
              <w:br/>
              <w:t>To support staff post Covid</w:t>
            </w:r>
            <w:r w:rsidRPr="00C64631">
              <w:rPr>
                <w:sz w:val="20"/>
              </w:rPr>
              <w:br/>
              <w:t>To support pupil wellbeing and opportunities post covid and with the current cost of living crisis</w:t>
            </w:r>
          </w:p>
        </w:tc>
        <w:tc>
          <w:tcPr>
            <w:tcW w:w="3409" w:type="dxa"/>
            <w:noWrap/>
            <w:hideMark/>
          </w:tcPr>
          <w:p w:rsidR="00B92D5F" w:rsidRPr="00C64631" w:rsidRDefault="00B92D5F" w:rsidP="00B2059C">
            <w:pPr>
              <w:shd w:val="clear" w:color="auto" w:fill="FFFFFF" w:themeFill="background1"/>
              <w:rPr>
                <w:sz w:val="20"/>
              </w:rPr>
            </w:pPr>
            <w:r w:rsidRPr="00C64631">
              <w:rPr>
                <w:sz w:val="20"/>
              </w:rPr>
              <w:t>Appointment of HWB Speciialist teacher who has HE background, has been trained in rebound therapy</w:t>
            </w:r>
            <w:r w:rsidRPr="00C64631">
              <w:rPr>
                <w:sz w:val="20"/>
              </w:rPr>
              <w:br/>
              <w:t>Introduction of cookery sessions with classes, breakfast clubs, social chats, family engagement cafes, community cafe/work experience, school events</w:t>
            </w:r>
          </w:p>
        </w:tc>
        <w:tc>
          <w:tcPr>
            <w:tcW w:w="3409" w:type="dxa"/>
            <w:noWrap/>
            <w:hideMark/>
          </w:tcPr>
          <w:p w:rsidR="00B92D5F" w:rsidRPr="00C64631" w:rsidRDefault="00B92D5F" w:rsidP="00B2059C">
            <w:pPr>
              <w:shd w:val="clear" w:color="auto" w:fill="FFFFFF" w:themeFill="background1"/>
              <w:rPr>
                <w:sz w:val="20"/>
              </w:rPr>
            </w:pPr>
            <w:r w:rsidRPr="00C64631">
              <w:rPr>
                <w:sz w:val="20"/>
              </w:rPr>
              <w:t>Increased parental engagement, pupil more confident in transitions, reintroduction of lunch hall, pupils participating in cookery activities, family engagement</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Mount Carmel Primary School</w:t>
            </w:r>
          </w:p>
        </w:tc>
        <w:tc>
          <w:tcPr>
            <w:tcW w:w="3409" w:type="dxa"/>
            <w:noWrap/>
            <w:hideMark/>
          </w:tcPr>
          <w:p w:rsidR="00B92D5F" w:rsidRPr="00C64631" w:rsidRDefault="00B92D5F" w:rsidP="00B2059C">
            <w:pPr>
              <w:shd w:val="clear" w:color="auto" w:fill="FFFFFF" w:themeFill="background1"/>
              <w:rPr>
                <w:sz w:val="20"/>
              </w:rPr>
            </w:pPr>
            <w:r w:rsidRPr="00C64631">
              <w:rPr>
                <w:sz w:val="20"/>
              </w:rPr>
              <w:t>Breakfast Club</w:t>
            </w:r>
          </w:p>
        </w:tc>
        <w:tc>
          <w:tcPr>
            <w:tcW w:w="3409" w:type="dxa"/>
            <w:noWrap/>
            <w:hideMark/>
          </w:tcPr>
          <w:p w:rsidR="00B92D5F" w:rsidRPr="00C64631" w:rsidRDefault="00B92D5F" w:rsidP="00B2059C">
            <w:pPr>
              <w:shd w:val="clear" w:color="auto" w:fill="FFFFFF" w:themeFill="background1"/>
              <w:rPr>
                <w:sz w:val="20"/>
              </w:rPr>
            </w:pPr>
            <w:r w:rsidRPr="00C64631">
              <w:rPr>
                <w:sz w:val="20"/>
              </w:rPr>
              <w:t>Number of pupils coming to school after 9am on a frequent basis.</w:t>
            </w:r>
          </w:p>
        </w:tc>
        <w:tc>
          <w:tcPr>
            <w:tcW w:w="3409" w:type="dxa"/>
            <w:noWrap/>
            <w:hideMark/>
          </w:tcPr>
          <w:p w:rsidR="00B92D5F" w:rsidRPr="00C64631" w:rsidRDefault="00B92D5F" w:rsidP="00B2059C">
            <w:pPr>
              <w:shd w:val="clear" w:color="auto" w:fill="FFFFFF" w:themeFill="background1"/>
              <w:rPr>
                <w:sz w:val="20"/>
              </w:rPr>
            </w:pPr>
            <w:r w:rsidRPr="00C64631">
              <w:rPr>
                <w:sz w:val="20"/>
              </w:rPr>
              <w:t>Reintroduction of Breakfast Club to support pupils attending school from 8:15am.</w:t>
            </w:r>
          </w:p>
        </w:tc>
        <w:tc>
          <w:tcPr>
            <w:tcW w:w="3409" w:type="dxa"/>
            <w:noWrap/>
            <w:hideMark/>
          </w:tcPr>
          <w:p w:rsidR="00B92D5F" w:rsidRPr="00C64631" w:rsidRDefault="00B92D5F" w:rsidP="00B2059C">
            <w:pPr>
              <w:shd w:val="clear" w:color="auto" w:fill="FFFFFF" w:themeFill="background1"/>
              <w:rPr>
                <w:sz w:val="20"/>
              </w:rPr>
            </w:pPr>
            <w:r w:rsidRPr="00C64631">
              <w:rPr>
                <w:sz w:val="20"/>
              </w:rPr>
              <w:t>Improved attendance from individuals, in school and ready to learn.</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Doon Academy</w:t>
            </w:r>
          </w:p>
        </w:tc>
        <w:tc>
          <w:tcPr>
            <w:tcW w:w="3409" w:type="dxa"/>
            <w:noWrap/>
            <w:hideMark/>
          </w:tcPr>
          <w:p w:rsidR="00B92D5F" w:rsidRPr="00C64631" w:rsidRDefault="00B92D5F" w:rsidP="00B2059C">
            <w:pPr>
              <w:shd w:val="clear" w:color="auto" w:fill="FFFFFF" w:themeFill="background1"/>
              <w:rPr>
                <w:sz w:val="20"/>
              </w:rPr>
            </w:pPr>
            <w:r w:rsidRPr="00C64631">
              <w:rPr>
                <w:sz w:val="20"/>
              </w:rPr>
              <w:t>Staffing to support Literacy &amp; Numeracy in the BGE</w:t>
            </w:r>
            <w:r w:rsidRPr="00C64631">
              <w:rPr>
                <w:sz w:val="20"/>
              </w:rPr>
              <w:br/>
              <w:t>21 Hours Clerical Support (G3) - maximising attendance</w:t>
            </w:r>
            <w:r w:rsidRPr="00C64631">
              <w:rPr>
                <w:sz w:val="20"/>
              </w:rPr>
              <w:br/>
              <w:t xml:space="preserve">Columba 1400 Residential Trip </w:t>
            </w:r>
            <w:r w:rsidRPr="00C64631">
              <w:rPr>
                <w:sz w:val="20"/>
              </w:rPr>
              <w:br/>
              <w:t>Doon to Business: equity provision</w:t>
            </w:r>
            <w:r w:rsidRPr="00C64631">
              <w:rPr>
                <w:sz w:val="20"/>
              </w:rPr>
              <w:br/>
              <w:t xml:space="preserve">Attainment &amp; Attendance Champions </w:t>
            </w:r>
            <w:r w:rsidRPr="00C64631">
              <w:rPr>
                <w:sz w:val="20"/>
              </w:rPr>
              <w:br/>
              <w:t>Renaissance Learning</w:t>
            </w:r>
            <w:r w:rsidRPr="00C64631">
              <w:rPr>
                <w:sz w:val="20"/>
              </w:rPr>
              <w:br/>
              <w:t>Learning Beyond The Classroom</w:t>
            </w:r>
          </w:p>
        </w:tc>
        <w:tc>
          <w:tcPr>
            <w:tcW w:w="3409" w:type="dxa"/>
            <w:noWrap/>
            <w:hideMark/>
          </w:tcPr>
          <w:p w:rsidR="00B92D5F" w:rsidRPr="00C64631" w:rsidRDefault="00B92D5F" w:rsidP="00B2059C">
            <w:pPr>
              <w:shd w:val="clear" w:color="auto" w:fill="FFFFFF" w:themeFill="background1"/>
              <w:rPr>
                <w:sz w:val="20"/>
              </w:rPr>
            </w:pPr>
            <w:r w:rsidRPr="00C64631">
              <w:rPr>
                <w:sz w:val="20"/>
              </w:rPr>
              <w:t>As a result of a wide ranging stakeholder survey and PEF working group. Seven areas for intervention were identified. These were connected to strands of the school improvement plan, in line with local and national priority. Raising attainment and closing the poverty related attainment gap in literacy and numeracy, attendance (inclusion and putting the learner at the centre of the decision making process in relation to the curriculum.</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Employed a Support For Learning colleague to target support in the BGE for learners in Literacy and Numeracy. 21 hours dedicated to supporting attendance with a clerical appointment, making connection with families to guide attendance. Equity provision - supporting learners and families with the tools for learning, whether that be uniform items or classroom essentials. Columba 1400 programme initiated to create leadership and a legacy group that formed part of an equalities agenda and transgenerational power sharing relating to curriculum. In addition, subsidy of school trips to </w:t>
            </w:r>
            <w:r w:rsidRPr="00C64631">
              <w:rPr>
                <w:sz w:val="20"/>
              </w:rPr>
              <w:lastRenderedPageBreak/>
              <w:t xml:space="preserve">make learning out with the classroom accessible. </w:t>
            </w:r>
          </w:p>
        </w:tc>
        <w:tc>
          <w:tcPr>
            <w:tcW w:w="3409" w:type="dxa"/>
            <w:noWrap/>
            <w:hideMark/>
          </w:tcPr>
          <w:p w:rsidR="00B92D5F" w:rsidRPr="00C64631" w:rsidRDefault="00B92D5F" w:rsidP="00B2059C">
            <w:pPr>
              <w:shd w:val="clear" w:color="auto" w:fill="FFFFFF" w:themeFill="background1"/>
              <w:rPr>
                <w:sz w:val="20"/>
              </w:rPr>
            </w:pPr>
            <w:r w:rsidRPr="00C64631">
              <w:rPr>
                <w:sz w:val="20"/>
              </w:rPr>
              <w:lastRenderedPageBreak/>
              <w:t xml:space="preserve">Improved BGE levels for 'almost all' in literacy. Greater attendance for a group of young people that were previous low - non attenders. As well as more accurate period-by-period registration. More uniform and less pupils reporting a lack of materials to learn. More young people have experienced learning outside the classroom than in the past three years. Learners in S3 have experienced transgenerational power sharing and a place in framing a set of school values. </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Drongan Primary</w:t>
            </w:r>
          </w:p>
        </w:tc>
        <w:tc>
          <w:tcPr>
            <w:tcW w:w="3409" w:type="dxa"/>
            <w:noWrap/>
            <w:hideMark/>
          </w:tcPr>
          <w:p w:rsidR="00B92D5F" w:rsidRPr="00C64631" w:rsidRDefault="00B92D5F" w:rsidP="00B2059C">
            <w:pPr>
              <w:shd w:val="clear" w:color="auto" w:fill="FFFFFF" w:themeFill="background1"/>
              <w:rPr>
                <w:sz w:val="20"/>
              </w:rPr>
            </w:pPr>
            <w:r w:rsidRPr="00C64631">
              <w:rPr>
                <w:sz w:val="20"/>
              </w:rPr>
              <w:t>Additional Support Staff</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Through effective data analysis, groups of children who were currently off-track were identified.  With additional support and intervention, it was hoped that they would be able to achieve the national expected levels in Literacy and Numeracy.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Targeted support was provided to identified groups of children (boost groups) both by additional teaching and support staff.  Various interventions were used including Reading Extra, mental agility in numeracy and tools for writing support.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Attainment raised in all aspects of Literacy and Numeracy in key stages.  Establishment attainment above EAC average in all aspects of Literacy and Numeracy for key stages except for P7 reading and writing. Reading accuracy, initial sound recognition and automaticity increased for all boost groups across all stages.  Significant improvement in mental agility and knowledge of multiplication tables across all stages.  </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sidRPr="00C64631">
              <w:rPr>
                <w:sz w:val="20"/>
              </w:rPr>
              <w:t>Logan Primary</w:t>
            </w:r>
          </w:p>
        </w:tc>
        <w:tc>
          <w:tcPr>
            <w:tcW w:w="3409" w:type="dxa"/>
            <w:noWrap/>
            <w:hideMark/>
          </w:tcPr>
          <w:p w:rsidR="00B92D5F" w:rsidRPr="00C64631" w:rsidRDefault="00B92D5F" w:rsidP="00B2059C">
            <w:pPr>
              <w:shd w:val="clear" w:color="auto" w:fill="FFFFFF" w:themeFill="background1"/>
              <w:rPr>
                <w:sz w:val="20"/>
              </w:rPr>
            </w:pPr>
            <w:r w:rsidRPr="00C64631">
              <w:rPr>
                <w:sz w:val="20"/>
              </w:rPr>
              <w:t>Early Years Practitioner developing play pedagogy across the school in numeracy</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Improving attainment of SIMD 1&amp;2 community in numeracy and mathematics.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Early Years Practitioner developing play pedagogy across the school in numeracy.  Working alongside small tutorial groups in numeracy to develop capacity in staff and skill in young people through play and active learning, child centred and led by curiosity.  </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Pupils appear to be invested in maths and numeracy, enjoyment of the subject increasing and engagement in lessons improving.  Young people seem to be improving so far in attainment and able to self direct learning more confidently.  </w:t>
            </w:r>
          </w:p>
        </w:tc>
      </w:tr>
      <w:tr w:rsidR="00B92D5F" w:rsidRPr="00C64631" w:rsidTr="00B2059C">
        <w:trPr>
          <w:trHeight w:val="288"/>
        </w:trPr>
        <w:tc>
          <w:tcPr>
            <w:tcW w:w="317" w:type="dxa"/>
            <w:noWrap/>
            <w:hideMark/>
          </w:tcPr>
          <w:p w:rsidR="00B92D5F" w:rsidRPr="00C64631" w:rsidRDefault="00B92D5F" w:rsidP="00B2059C">
            <w:pPr>
              <w:shd w:val="clear" w:color="auto" w:fill="FFFFFF" w:themeFill="background1"/>
              <w:rPr>
                <w:sz w:val="20"/>
              </w:rPr>
            </w:pPr>
            <w:r>
              <w:rPr>
                <w:sz w:val="20"/>
              </w:rPr>
              <w:t>K</w:t>
            </w:r>
            <w:r w:rsidRPr="00C64631">
              <w:rPr>
                <w:sz w:val="20"/>
              </w:rPr>
              <w:t>ilmarnock Academy</w:t>
            </w:r>
          </w:p>
        </w:tc>
        <w:tc>
          <w:tcPr>
            <w:tcW w:w="3409" w:type="dxa"/>
            <w:noWrap/>
            <w:hideMark/>
          </w:tcPr>
          <w:p w:rsidR="00B92D5F" w:rsidRPr="00C64631" w:rsidRDefault="00B92D5F" w:rsidP="00B2059C">
            <w:pPr>
              <w:shd w:val="clear" w:color="auto" w:fill="FFFFFF" w:themeFill="background1"/>
              <w:rPr>
                <w:sz w:val="20"/>
              </w:rPr>
            </w:pPr>
            <w:r w:rsidRPr="00C64631">
              <w:rPr>
                <w:sz w:val="20"/>
              </w:rPr>
              <w:t>Joint initiative with JHP and ECC (although they don't get PEF), whereby we jointly recruited a primary teacher to work on closing pandmic gaps to aid recovery.   Transition benefits from ECC to Primary and Primary to secondary have been excellent as have reulsts of the focus group in terms of literacy, numeracy and wellbeing outcomes.</w:t>
            </w:r>
          </w:p>
        </w:tc>
        <w:tc>
          <w:tcPr>
            <w:tcW w:w="3409" w:type="dxa"/>
            <w:noWrap/>
            <w:hideMark/>
          </w:tcPr>
          <w:p w:rsidR="00B92D5F" w:rsidRPr="00C64631" w:rsidRDefault="00B92D5F" w:rsidP="00B2059C">
            <w:pPr>
              <w:shd w:val="clear" w:color="auto" w:fill="FFFFFF" w:themeFill="background1"/>
              <w:rPr>
                <w:sz w:val="20"/>
              </w:rPr>
            </w:pPr>
            <w:r w:rsidRPr="00C64631">
              <w:rPr>
                <w:sz w:val="20"/>
              </w:rPr>
              <w:t xml:space="preserve">Above.  Can provide a detailed narative as required and impact data. </w:t>
            </w:r>
          </w:p>
        </w:tc>
        <w:tc>
          <w:tcPr>
            <w:tcW w:w="3409" w:type="dxa"/>
            <w:noWrap/>
            <w:hideMark/>
          </w:tcPr>
          <w:p w:rsidR="00B92D5F" w:rsidRPr="00C64631" w:rsidRDefault="00B92D5F" w:rsidP="00B2059C">
            <w:pPr>
              <w:shd w:val="clear" w:color="auto" w:fill="FFFFFF" w:themeFill="background1"/>
              <w:rPr>
                <w:sz w:val="20"/>
              </w:rPr>
            </w:pPr>
            <w:r w:rsidRPr="00C64631">
              <w:rPr>
                <w:sz w:val="20"/>
              </w:rPr>
              <w:t>As above</w:t>
            </w:r>
          </w:p>
        </w:tc>
        <w:tc>
          <w:tcPr>
            <w:tcW w:w="3409" w:type="dxa"/>
            <w:noWrap/>
            <w:hideMark/>
          </w:tcPr>
          <w:p w:rsidR="00B92D5F" w:rsidRPr="00C64631" w:rsidRDefault="00B92D5F" w:rsidP="00B2059C">
            <w:pPr>
              <w:shd w:val="clear" w:color="auto" w:fill="FFFFFF" w:themeFill="background1"/>
              <w:rPr>
                <w:sz w:val="20"/>
              </w:rPr>
            </w:pPr>
            <w:r w:rsidRPr="00C64631">
              <w:rPr>
                <w:sz w:val="20"/>
              </w:rPr>
              <w:t>Can detail attainment in reading ages and numeracy for group.</w:t>
            </w:r>
          </w:p>
        </w:tc>
      </w:tr>
    </w:tbl>
    <w:p w:rsidR="00F203A9" w:rsidRPr="00C64631" w:rsidRDefault="00F203A9" w:rsidP="00B92D5F">
      <w:pPr>
        <w:pStyle w:val="Heading1"/>
        <w:jc w:val="center"/>
        <w:rPr>
          <w:rFonts w:asciiTheme="minorHAnsi" w:hAnsiTheme="minorHAnsi" w:cstheme="minorBidi"/>
          <w:sz w:val="18"/>
        </w:rPr>
      </w:pPr>
      <w:r w:rsidRPr="00C64631">
        <w:fldChar w:fldCharType="begin"/>
      </w:r>
      <w:r w:rsidRPr="00C64631">
        <w:instrText xml:space="preserve"> LINK Excel.Sheet.12 "C:\\Users\\pearsong\\AppData\\Local\\Microsoft\\Windows\\INetCache\\Content.Outlook\\6J6YE86Z\\East Ayrshire PEF Case Study 2022-2023(1-18) (1).xlsx" "Sheet1!R1C6:R19C10" \a \f 5 \h  \* MERGEFORMAT </w:instrText>
      </w:r>
      <w:r w:rsidRPr="00C64631">
        <w:fldChar w:fldCharType="separate"/>
      </w:r>
    </w:p>
    <w:p w:rsidR="00482B3F" w:rsidRPr="00F203A9" w:rsidRDefault="00F203A9" w:rsidP="00C64631">
      <w:pPr>
        <w:shd w:val="clear" w:color="auto" w:fill="FFFFFF" w:themeFill="background1"/>
        <w:rPr>
          <w:sz w:val="20"/>
        </w:rPr>
      </w:pPr>
      <w:r w:rsidRPr="00C64631">
        <w:rPr>
          <w:sz w:val="20"/>
        </w:rPr>
        <w:fldChar w:fldCharType="end"/>
      </w:r>
    </w:p>
    <w:sectPr w:rsidR="00482B3F" w:rsidRPr="00F203A9" w:rsidSect="00F203A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A9"/>
    <w:rsid w:val="00065F94"/>
    <w:rsid w:val="005B365A"/>
    <w:rsid w:val="009F477B"/>
    <w:rsid w:val="00B92D5F"/>
    <w:rsid w:val="00C64631"/>
    <w:rsid w:val="00F203A9"/>
    <w:rsid w:val="00F20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04D4"/>
  <w15:chartTrackingRefBased/>
  <w15:docId w15:val="{972E49DE-98E8-4516-A6EE-F13686E3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F94"/>
    <w:rPr>
      <w:rFonts w:ascii="Arial" w:hAnsi="Arial" w:cs="Times New Roman"/>
      <w:sz w:val="24"/>
    </w:rPr>
  </w:style>
  <w:style w:type="paragraph" w:styleId="Heading1">
    <w:name w:val="heading 1"/>
    <w:basedOn w:val="Normal"/>
    <w:next w:val="Normal"/>
    <w:link w:val="Heading1Char"/>
    <w:uiPriority w:val="9"/>
    <w:qFormat/>
    <w:rsid w:val="00B92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2D5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4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Gordon</dc:creator>
  <cp:keywords/>
  <dc:description/>
  <cp:lastModifiedBy>O'Neil, Catrina</cp:lastModifiedBy>
  <cp:revision>4</cp:revision>
  <dcterms:created xsi:type="dcterms:W3CDTF">2023-03-14T13:19:00Z</dcterms:created>
  <dcterms:modified xsi:type="dcterms:W3CDTF">2023-03-24T11:52:00Z</dcterms:modified>
</cp:coreProperties>
</file>