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174" w:rsidRDefault="00C66613" w:rsidP="00C66613">
      <w:pPr>
        <w:pStyle w:val="Heading1"/>
        <w:jc w:val="center"/>
      </w:pPr>
      <w:r>
        <w:rPr>
          <w:noProof/>
          <w:lang w:eastAsia="en-GB"/>
        </w:rPr>
        <mc:AlternateContent>
          <mc:Choice Requires="wpg">
            <w:drawing>
              <wp:anchor distT="45720" distB="45720" distL="182880" distR="182880" simplePos="0" relativeHeight="251659264" behindDoc="0" locked="0" layoutInCell="1" allowOverlap="1" wp14:anchorId="227E2CF0" wp14:editId="5D8EC84E">
                <wp:simplePos x="0" y="0"/>
                <wp:positionH relativeFrom="margin">
                  <wp:posOffset>247650</wp:posOffset>
                </wp:positionH>
                <wp:positionV relativeFrom="margin">
                  <wp:posOffset>546100</wp:posOffset>
                </wp:positionV>
                <wp:extent cx="5988050" cy="1524000"/>
                <wp:effectExtent l="0" t="0" r="12700" b="19050"/>
                <wp:wrapSquare wrapText="bothSides"/>
                <wp:docPr id="198" name="Group 198"/>
                <wp:cNvGraphicFramePr/>
                <a:graphic xmlns:a="http://schemas.openxmlformats.org/drawingml/2006/main">
                  <a:graphicData uri="http://schemas.microsoft.com/office/word/2010/wordprocessingGroup">
                    <wpg:wgp>
                      <wpg:cNvGrpSpPr/>
                      <wpg:grpSpPr>
                        <a:xfrm>
                          <a:off x="0" y="0"/>
                          <a:ext cx="5988050" cy="1524000"/>
                          <a:chOff x="0" y="0"/>
                          <a:chExt cx="3567448" cy="1657009"/>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1174" w:rsidRPr="009B1174" w:rsidRDefault="009B1174" w:rsidP="009B1174">
                              <w:pPr>
                                <w:ind w:firstLine="720"/>
                                <w:rPr>
                                  <w:b/>
                                </w:rPr>
                              </w:pPr>
                              <w:r>
                                <w:rPr>
                                  <w:b/>
                                </w:rPr>
                                <w:t>D</w:t>
                              </w:r>
                              <w:r w:rsidRPr="009B1174">
                                <w:rPr>
                                  <w:b/>
                                </w:rPr>
                                <w:t>ocuments:</w:t>
                              </w:r>
                            </w:p>
                            <w:p w:rsidR="009B1174" w:rsidRDefault="009B1174" w:rsidP="009B117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4621" y="252687"/>
                            <a:ext cx="3562827" cy="1404322"/>
                          </a:xfrm>
                          <a:prstGeom prst="rect">
                            <a:avLst/>
                          </a:prstGeom>
                          <a:no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9B1174" w:rsidRDefault="009B1174" w:rsidP="007E315F">
                              <w:pPr>
                                <w:pStyle w:val="ListParagraph"/>
                                <w:numPr>
                                  <w:ilvl w:val="0"/>
                                  <w:numId w:val="3"/>
                                </w:numPr>
                              </w:pPr>
                              <w:r>
                                <w:t xml:space="preserve">National Operational Guidance 2022 - </w:t>
                              </w:r>
                              <w:hyperlink r:id="rId5" w:history="1">
                                <w:r>
                                  <w:rPr>
                                    <w:rStyle w:val="Hyperlink"/>
                                  </w:rPr>
                                  <w:t>pupil-equity-funding-national-operational-guidance-2022.pdf</w:t>
                                </w:r>
                              </w:hyperlink>
                              <w:r>
                                <w:t xml:space="preserve"> – </w:t>
                              </w:r>
                              <w:r w:rsidRPr="007E315F">
                                <w:rPr>
                                  <w:i/>
                                </w:rPr>
                                <w:t xml:space="preserve">Document 1 – reference below </w:t>
                              </w:r>
                              <w:r w:rsidRPr="007E315F">
                                <w:rPr>
                                  <w:i/>
                                  <w:vertAlign w:val="superscript"/>
                                </w:rPr>
                                <w:t>1</w:t>
                              </w:r>
                            </w:p>
                            <w:p w:rsidR="009B1174" w:rsidRPr="009B1174" w:rsidRDefault="009B1174" w:rsidP="007E315F">
                              <w:pPr>
                                <w:pStyle w:val="ListParagraph"/>
                                <w:numPr>
                                  <w:ilvl w:val="0"/>
                                  <w:numId w:val="3"/>
                                </w:numPr>
                              </w:pPr>
                              <w:r>
                                <w:t xml:space="preserve">Pupil Equity Funding: Looking inwards, outwards, forwards – </w:t>
                              </w:r>
                              <w:hyperlink r:id="rId6" w:history="1">
                                <w:r>
                                  <w:rPr>
                                    <w:rStyle w:val="Hyperlink"/>
                                  </w:rPr>
                                  <w:t>pupil-equity-funding-looking-inwards-outwards-forwards3.pdf</w:t>
                                </w:r>
                              </w:hyperlink>
                              <w:r>
                                <w:t xml:space="preserve"> - </w:t>
                              </w:r>
                              <w:r w:rsidRPr="007E315F">
                                <w:rPr>
                                  <w:i/>
                                </w:rPr>
                                <w:t xml:space="preserve">Document 2 – reference below </w:t>
                              </w:r>
                              <w:r w:rsidRPr="007E315F">
                                <w:rPr>
                                  <w:i/>
                                  <w:vertAlign w:val="superscript"/>
                                </w:rPr>
                                <w:t>2</w:t>
                              </w:r>
                            </w:p>
                            <w:p w:rsidR="009B1174" w:rsidRDefault="009B1174" w:rsidP="009B1174">
                              <w:pPr>
                                <w:pStyle w:val="ListParagraph"/>
                                <w:numPr>
                                  <w:ilvl w:val="2"/>
                                  <w:numId w:val="1"/>
                                </w:numPr>
                              </w:pPr>
                              <w:r>
                                <w:t>PEF checklist for schools (</w:t>
                              </w:r>
                              <w:r w:rsidRPr="0091788D">
                                <w:t>p7</w:t>
                              </w:r>
                              <w:r>
                                <w:t>)</w:t>
                              </w:r>
                            </w:p>
                            <w:p w:rsidR="009B1174" w:rsidRDefault="0091788D" w:rsidP="009B1174">
                              <w:pPr>
                                <w:pStyle w:val="ListParagraph"/>
                                <w:numPr>
                                  <w:ilvl w:val="2"/>
                                  <w:numId w:val="1"/>
                                </w:numPr>
                              </w:pPr>
                              <w:r>
                                <w:t>A checklist for local authorities (</w:t>
                              </w:r>
                              <w:r w:rsidRPr="0091788D">
                                <w:t>p8</w:t>
                              </w:r>
                              <w:r>
                                <w:t>)</w:t>
                              </w:r>
                            </w:p>
                            <w:p w:rsidR="009B1174" w:rsidRDefault="009B1174" w:rsidP="009B1174">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7E2CF0" id="Group 198" o:spid="_x0000_s1026" style="position:absolute;left:0;text-align:left;margin-left:19.5pt;margin-top:43pt;width:471.5pt;height:120pt;z-index:251659264;mso-wrap-distance-left:14.4pt;mso-wrap-distance-top:3.6pt;mso-wrap-distance-right:14.4pt;mso-wrap-distance-bottom:3.6pt;mso-position-horizontal-relative:margin;mso-position-vertical-relative:margin;mso-width-relative:margin;mso-height-relative:margin" coordsize="35674,1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5b9bd5 [3204]" stroked="f" strokeweight="1pt">
                  <v:textbox>
                    <w:txbxContent>
                      <w:p w:rsidR="009B1174" w:rsidRPr="009B1174" w:rsidRDefault="009B1174" w:rsidP="009B1174">
                        <w:pPr>
                          <w:ind w:firstLine="720"/>
                          <w:rPr>
                            <w:b/>
                          </w:rPr>
                        </w:pPr>
                        <w:r>
                          <w:rPr>
                            <w:b/>
                          </w:rPr>
                          <w:t>D</w:t>
                        </w:r>
                        <w:r w:rsidRPr="009B1174">
                          <w:rPr>
                            <w:b/>
                          </w:rPr>
                          <w:t>ocuments:</w:t>
                        </w:r>
                      </w:p>
                      <w:p w:rsidR="009B1174" w:rsidRDefault="009B1174" w:rsidP="009B1174">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left:46;top:2526;width:35628;height:14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" filled="f" strokecolor="#0070c0" strokeweight=".5pt">
                  <v:textbox inset=",7.2pt,,0">
                    <w:txbxContent>
                      <w:p w:rsidR="009B1174" w:rsidRDefault="009B1174" w:rsidP="007E315F">
                        <w:pPr>
                          <w:pStyle w:val="ListParagraph"/>
                          <w:numPr>
                            <w:ilvl w:val="0"/>
                            <w:numId w:val="3"/>
                          </w:numPr>
                        </w:pPr>
                        <w:r>
                          <w:t xml:space="preserve">National Operational Guidance 2022 - </w:t>
                        </w:r>
                        <w:hyperlink r:id="rId7" w:history="1">
                          <w:r>
                            <w:rPr>
                              <w:rStyle w:val="Hyperlink"/>
                            </w:rPr>
                            <w:t>pupil-equity-funding-national-operational-guidance-2022.pdf</w:t>
                          </w:r>
                        </w:hyperlink>
                        <w:r>
                          <w:t xml:space="preserve"> – </w:t>
                        </w:r>
                        <w:r w:rsidRPr="007E315F">
                          <w:rPr>
                            <w:i/>
                          </w:rPr>
                          <w:t xml:space="preserve">Document 1 – reference below </w:t>
                        </w:r>
                        <w:r w:rsidRPr="007E315F">
                          <w:rPr>
                            <w:i/>
                            <w:vertAlign w:val="superscript"/>
                          </w:rPr>
                          <w:t>1</w:t>
                        </w:r>
                      </w:p>
                      <w:p w:rsidR="009B1174" w:rsidRPr="009B1174" w:rsidRDefault="009B1174" w:rsidP="007E315F">
                        <w:pPr>
                          <w:pStyle w:val="ListParagraph"/>
                          <w:numPr>
                            <w:ilvl w:val="0"/>
                            <w:numId w:val="3"/>
                          </w:numPr>
                        </w:pPr>
                        <w:r>
                          <w:t xml:space="preserve">Pupil Equity Funding: Looking inwards, outwards, forwards – </w:t>
                        </w:r>
                        <w:hyperlink r:id="rId8" w:history="1">
                          <w:r>
                            <w:rPr>
                              <w:rStyle w:val="Hyperlink"/>
                            </w:rPr>
                            <w:t>pupil-equity-funding-looking-inwards-outwards-forwards3.pdf</w:t>
                          </w:r>
                        </w:hyperlink>
                        <w:r>
                          <w:t xml:space="preserve"> - </w:t>
                        </w:r>
                        <w:r w:rsidRPr="007E315F">
                          <w:rPr>
                            <w:i/>
                          </w:rPr>
                          <w:t xml:space="preserve">Document 2 – reference below </w:t>
                        </w:r>
                        <w:r w:rsidRPr="007E315F">
                          <w:rPr>
                            <w:i/>
                            <w:vertAlign w:val="superscript"/>
                          </w:rPr>
                          <w:t>2</w:t>
                        </w:r>
                      </w:p>
                      <w:p w:rsidR="009B1174" w:rsidRDefault="009B1174" w:rsidP="009B1174">
                        <w:pPr>
                          <w:pStyle w:val="ListParagraph"/>
                          <w:numPr>
                            <w:ilvl w:val="2"/>
                            <w:numId w:val="1"/>
                          </w:numPr>
                        </w:pPr>
                        <w:r>
                          <w:t>PEF checklist for schools (</w:t>
                        </w:r>
                        <w:r w:rsidRPr="0091788D">
                          <w:t>p7</w:t>
                        </w:r>
                        <w:r>
                          <w:t>)</w:t>
                        </w:r>
                      </w:p>
                      <w:p w:rsidR="009B1174" w:rsidRDefault="0091788D" w:rsidP="009B1174">
                        <w:pPr>
                          <w:pStyle w:val="ListParagraph"/>
                          <w:numPr>
                            <w:ilvl w:val="2"/>
                            <w:numId w:val="1"/>
                          </w:numPr>
                        </w:pPr>
                        <w:r>
                          <w:t>A checklist for local authorities (</w:t>
                        </w:r>
                        <w:r w:rsidRPr="0091788D">
                          <w:t>p8</w:t>
                        </w:r>
                        <w:r>
                          <w:t>)</w:t>
                        </w:r>
                      </w:p>
                      <w:p w:rsidR="009B1174" w:rsidRDefault="009B1174" w:rsidP="009B1174">
                        <w:pPr>
                          <w:rPr>
                            <w:caps/>
                            <w:color w:val="5B9BD5" w:themeColor="accent1"/>
                            <w:sz w:val="26"/>
                            <w:szCs w:val="26"/>
                          </w:rPr>
                        </w:pPr>
                      </w:p>
                    </w:txbxContent>
                  </v:textbox>
                </v:shape>
                <w10:wrap type="square" anchorx="margin" anchory="margin"/>
              </v:group>
            </w:pict>
          </mc:Fallback>
        </mc:AlternateContent>
      </w:r>
      <w:r w:rsidR="00376DBA">
        <w:t xml:space="preserve">Top 10 </w:t>
      </w:r>
      <w:r>
        <w:t xml:space="preserve">PEF </w:t>
      </w:r>
      <w:r w:rsidR="00376DBA">
        <w:t xml:space="preserve">points </w:t>
      </w:r>
      <w:bookmarkStart w:id="0" w:name="_GoBack"/>
      <w:bookmarkEnd w:id="0"/>
    </w:p>
    <w:p w:rsidR="00C66613" w:rsidRPr="00C66613" w:rsidRDefault="00C66613" w:rsidP="00C66613"/>
    <w:p w:rsidR="007467CE" w:rsidRDefault="00300E5A" w:rsidP="009B1174">
      <w:pPr>
        <w:pStyle w:val="ListParagraph"/>
        <w:numPr>
          <w:ilvl w:val="0"/>
          <w:numId w:val="2"/>
        </w:numPr>
      </w:pPr>
      <w:r w:rsidRPr="009B1174">
        <w:rPr>
          <w:b/>
        </w:rPr>
        <w:t>Carry forward</w:t>
      </w:r>
      <w:r w:rsidR="007467CE" w:rsidRPr="009B1174">
        <w:rPr>
          <w:b/>
        </w:rPr>
        <w:t xml:space="preserve"> </w:t>
      </w:r>
      <w:proofErr w:type="gramStart"/>
      <w:r w:rsidR="007467CE" w:rsidRPr="009B1174">
        <w:rPr>
          <w:b/>
        </w:rPr>
        <w:t>till</w:t>
      </w:r>
      <w:proofErr w:type="gramEnd"/>
      <w:r w:rsidR="007467CE" w:rsidRPr="009B1174">
        <w:rPr>
          <w:b/>
        </w:rPr>
        <w:t xml:space="preserve"> end of the Academic Year</w:t>
      </w:r>
      <w:r w:rsidR="007467CE">
        <w:t xml:space="preserve"> – It is a common belief that PEF funding can easily be carried forward from one academic year to the next. However, it is very clear in the guidance that the funding can be carried forward to the end of that academic year but that if schools which to </w:t>
      </w:r>
      <w:r w:rsidR="007467CE" w:rsidRPr="009B1174">
        <w:rPr>
          <w:b/>
        </w:rPr>
        <w:t>carry forward to the next academic year then they must agree this with their Local Authority and a clear rational</w:t>
      </w:r>
      <w:r w:rsidR="007467CE">
        <w:t xml:space="preserve"> for the carry forward should be provided. </w:t>
      </w:r>
    </w:p>
    <w:p w:rsidR="00E948CF" w:rsidRDefault="00E948CF" w:rsidP="00E948CF">
      <w:pPr>
        <w:pStyle w:val="ListParagraph"/>
        <w:rPr>
          <w:i/>
        </w:rPr>
      </w:pPr>
      <w:r>
        <w:rPr>
          <w:i/>
          <w:sz w:val="18"/>
          <w:szCs w:val="18"/>
        </w:rPr>
        <w:t>(</w:t>
      </w:r>
      <w:r w:rsidRPr="00E948CF">
        <w:rPr>
          <w:i/>
          <w:sz w:val="18"/>
          <w:szCs w:val="18"/>
        </w:rPr>
        <w:t xml:space="preserve">Where schools are unable to spend their full allocation during the financial year, any unspent funds </w:t>
      </w:r>
      <w:proofErr w:type="gramStart"/>
      <w:r w:rsidRPr="00E948CF">
        <w:rPr>
          <w:i/>
          <w:sz w:val="18"/>
          <w:szCs w:val="18"/>
        </w:rPr>
        <w:t>can be carried</w:t>
      </w:r>
      <w:proofErr w:type="gramEnd"/>
      <w:r w:rsidRPr="00E948CF">
        <w:rPr>
          <w:i/>
          <w:sz w:val="18"/>
          <w:szCs w:val="18"/>
        </w:rPr>
        <w:t xml:space="preserve"> forward to the new financial year. The expectation is that, other than in exceptional circumstances, it </w:t>
      </w:r>
      <w:proofErr w:type="gramStart"/>
      <w:r w:rsidRPr="00E948CF">
        <w:rPr>
          <w:i/>
          <w:sz w:val="18"/>
          <w:szCs w:val="18"/>
        </w:rPr>
        <w:t>should be spent</w:t>
      </w:r>
      <w:proofErr w:type="gramEnd"/>
      <w:r w:rsidRPr="00E948CF">
        <w:rPr>
          <w:i/>
          <w:sz w:val="18"/>
          <w:szCs w:val="18"/>
        </w:rPr>
        <w:t xml:space="preserve"> within that same academic year.  </w:t>
      </w:r>
      <w:hyperlink r:id="rId9" w:history="1">
        <w:proofErr w:type="gramStart"/>
        <w:r w:rsidRPr="00E948CF">
          <w:rPr>
            <w:rStyle w:val="Hyperlink"/>
            <w:i/>
            <w:sz w:val="18"/>
            <w:szCs w:val="18"/>
            <w:vertAlign w:val="superscript"/>
          </w:rPr>
          <w:t>1</w:t>
        </w:r>
        <w:proofErr w:type="gramEnd"/>
        <w:r w:rsidRPr="00E948CF">
          <w:rPr>
            <w:rStyle w:val="Hyperlink"/>
            <w:i/>
            <w:sz w:val="18"/>
            <w:szCs w:val="18"/>
          </w:rPr>
          <w:t xml:space="preserve"> p12</w:t>
        </w:r>
      </w:hyperlink>
      <w:r>
        <w:rPr>
          <w:i/>
        </w:rPr>
        <w:t>)</w:t>
      </w:r>
    </w:p>
    <w:p w:rsidR="009B1174" w:rsidRPr="00E948CF" w:rsidRDefault="009B1174" w:rsidP="00E948CF">
      <w:pPr>
        <w:pStyle w:val="ListParagraph"/>
        <w:rPr>
          <w:i/>
        </w:rPr>
      </w:pPr>
    </w:p>
    <w:p w:rsidR="00E948CF" w:rsidRPr="00E948CF" w:rsidRDefault="009B1174" w:rsidP="009B1174">
      <w:pPr>
        <w:pStyle w:val="ListParagraph"/>
        <w:numPr>
          <w:ilvl w:val="0"/>
          <w:numId w:val="2"/>
        </w:numPr>
        <w:rPr>
          <w:i/>
          <w:sz w:val="18"/>
          <w:szCs w:val="18"/>
        </w:rPr>
      </w:pPr>
      <w:r>
        <w:rPr>
          <w:b/>
        </w:rPr>
        <w:t>Robust i</w:t>
      </w:r>
      <w:r w:rsidR="007467CE" w:rsidRPr="007467CE">
        <w:rPr>
          <w:b/>
        </w:rPr>
        <w:t>mpact data</w:t>
      </w:r>
      <w:r w:rsidR="007467CE">
        <w:t xml:space="preserve"> – please ensure that</w:t>
      </w:r>
      <w:r w:rsidR="00B0455C">
        <w:t>,</w:t>
      </w:r>
      <w:r w:rsidR="007467CE">
        <w:t xml:space="preserve"> for each of your PEF initiatives</w:t>
      </w:r>
      <w:r w:rsidR="00B0455C">
        <w:t xml:space="preserve">, </w:t>
      </w:r>
      <w:r w:rsidR="007467CE">
        <w:t xml:space="preserve">you are collecting impact </w:t>
      </w:r>
      <w:proofErr w:type="gramStart"/>
      <w:r w:rsidR="007467CE">
        <w:t>data which</w:t>
      </w:r>
      <w:proofErr w:type="gramEnd"/>
      <w:r w:rsidR="007467CE">
        <w:t xml:space="preserve"> will be required for your </w:t>
      </w:r>
      <w:proofErr w:type="spellStart"/>
      <w:r w:rsidR="007467CE">
        <w:t>SiP</w:t>
      </w:r>
      <w:proofErr w:type="spellEnd"/>
      <w:r w:rsidR="007467CE">
        <w:t xml:space="preserve"> </w:t>
      </w:r>
      <w:r w:rsidR="004E666A">
        <w:t xml:space="preserve">and SQ report </w:t>
      </w:r>
      <w:r w:rsidR="007467CE">
        <w:t>feedback at the end of the year</w:t>
      </w:r>
      <w:r w:rsidR="007467CE" w:rsidRPr="00300E5A">
        <w:rPr>
          <w:i/>
        </w:rPr>
        <w:t>.</w:t>
      </w:r>
    </w:p>
    <w:p w:rsidR="007467CE" w:rsidRDefault="007467CE" w:rsidP="00E948CF">
      <w:pPr>
        <w:pStyle w:val="ListParagraph"/>
        <w:rPr>
          <w:i/>
          <w:sz w:val="18"/>
          <w:szCs w:val="18"/>
        </w:rPr>
      </w:pPr>
      <w:r w:rsidRPr="00300E5A">
        <w:rPr>
          <w:i/>
        </w:rPr>
        <w:t xml:space="preserve"> </w:t>
      </w:r>
      <w:r w:rsidR="00300E5A" w:rsidRPr="00CC5046">
        <w:rPr>
          <w:i/>
          <w:sz w:val="18"/>
          <w:szCs w:val="18"/>
        </w:rPr>
        <w:t>(</w:t>
      </w:r>
      <w:r w:rsidR="00E948CF" w:rsidRPr="00CC5046">
        <w:rPr>
          <w:i/>
          <w:sz w:val="18"/>
          <w:szCs w:val="18"/>
        </w:rPr>
        <w:t>“P</w:t>
      </w:r>
      <w:r w:rsidR="00645ED5" w:rsidRPr="00CC5046">
        <w:rPr>
          <w:i/>
          <w:sz w:val="18"/>
          <w:szCs w:val="18"/>
        </w:rPr>
        <w:t>lans should inclu</w:t>
      </w:r>
      <w:r w:rsidR="00300E5A" w:rsidRPr="00CC5046">
        <w:rPr>
          <w:i/>
          <w:sz w:val="18"/>
          <w:szCs w:val="18"/>
        </w:rPr>
        <w:t>de clear outcomes and measures”</w:t>
      </w:r>
      <w:r w:rsidR="00CC5046" w:rsidRPr="00CC5046">
        <w:rPr>
          <w:rStyle w:val="Hyperlink"/>
          <w:i/>
          <w:sz w:val="18"/>
          <w:szCs w:val="18"/>
        </w:rPr>
        <w:t xml:space="preserve">/ </w:t>
      </w:r>
      <w:r w:rsidR="00CC5046" w:rsidRPr="00CC5046">
        <w:rPr>
          <w:sz w:val="18"/>
          <w:szCs w:val="18"/>
        </w:rPr>
        <w:t xml:space="preserve">schools will be expected to incorporate details of their Pupil Equity Funding plans and explicitly report on the impact on outcomes for learners </w:t>
      </w:r>
      <w:proofErr w:type="gramStart"/>
      <w:r w:rsidR="00CC5046" w:rsidRPr="00CC5046">
        <w:rPr>
          <w:sz w:val="18"/>
          <w:szCs w:val="18"/>
        </w:rPr>
        <w:t>impacted</w:t>
      </w:r>
      <w:proofErr w:type="gramEnd"/>
      <w:r w:rsidR="00CC5046" w:rsidRPr="00CC5046">
        <w:rPr>
          <w:sz w:val="18"/>
          <w:szCs w:val="18"/>
        </w:rPr>
        <w:t xml:space="preserve"> by poverty </w:t>
      </w:r>
      <w:hyperlink r:id="rId10" w:history="1">
        <w:r w:rsidR="00CC5046" w:rsidRPr="00CC5046">
          <w:rPr>
            <w:rStyle w:val="Hyperlink"/>
            <w:i/>
            <w:sz w:val="18"/>
            <w:szCs w:val="18"/>
            <w:vertAlign w:val="superscript"/>
          </w:rPr>
          <w:t xml:space="preserve">1 </w:t>
        </w:r>
        <w:r w:rsidR="00CC5046" w:rsidRPr="00CC5046">
          <w:rPr>
            <w:rStyle w:val="Hyperlink"/>
            <w:i/>
            <w:sz w:val="18"/>
            <w:szCs w:val="18"/>
          </w:rPr>
          <w:t>p 16</w:t>
        </w:r>
      </w:hyperlink>
      <w:r w:rsidR="00CC5046">
        <w:rPr>
          <w:i/>
          <w:sz w:val="18"/>
          <w:szCs w:val="18"/>
        </w:rPr>
        <w:t>)</w:t>
      </w:r>
    </w:p>
    <w:p w:rsidR="009B1174" w:rsidRPr="00E948CF" w:rsidRDefault="009B1174" w:rsidP="00E948CF">
      <w:pPr>
        <w:pStyle w:val="ListParagraph"/>
        <w:rPr>
          <w:i/>
          <w:sz w:val="18"/>
          <w:szCs w:val="18"/>
        </w:rPr>
      </w:pPr>
    </w:p>
    <w:p w:rsidR="007E40AF" w:rsidRDefault="007E40AF" w:rsidP="009B1174">
      <w:pPr>
        <w:pStyle w:val="ListParagraph"/>
        <w:numPr>
          <w:ilvl w:val="0"/>
          <w:numId w:val="2"/>
        </w:numPr>
      </w:pPr>
      <w:r w:rsidRPr="005E71E2">
        <w:rPr>
          <w:b/>
        </w:rPr>
        <w:t>Target Poverty</w:t>
      </w:r>
      <w:r>
        <w:t xml:space="preserve"> – “Funding must provide targeted support for children and young people (and their families if appropriate) affected by poverty</w:t>
      </w:r>
      <w:r>
        <w:rPr>
          <w:i/>
        </w:rPr>
        <w:t xml:space="preserve">” </w:t>
      </w:r>
      <w:proofErr w:type="gramStart"/>
      <w:r>
        <w:rPr>
          <w:i/>
        </w:rPr>
        <w:t>(</w:t>
      </w:r>
      <w:r w:rsidRPr="00336E83">
        <w:rPr>
          <w:i/>
        </w:rPr>
        <w:t xml:space="preserve"> </w:t>
      </w:r>
      <w:proofErr w:type="gramEnd"/>
      <w:r w:rsidRPr="007E40AF">
        <w:rPr>
          <w:i/>
          <w:vertAlign w:val="superscript"/>
        </w:rPr>
        <w:fldChar w:fldCharType="begin"/>
      </w:r>
      <w:r w:rsidRPr="007E40AF">
        <w:rPr>
          <w:i/>
          <w:vertAlign w:val="superscript"/>
        </w:rPr>
        <w:instrText xml:space="preserve"> HYPERLINK "pupil-equity-funding-national-operational-guidance-2022.pdf" </w:instrText>
      </w:r>
      <w:r w:rsidRPr="007E40AF">
        <w:rPr>
          <w:i/>
          <w:vertAlign w:val="superscript"/>
        </w:rPr>
        <w:fldChar w:fldCharType="separate"/>
      </w:r>
      <w:r w:rsidRPr="007E40AF">
        <w:rPr>
          <w:rStyle w:val="Hyperlink"/>
          <w:i/>
          <w:vertAlign w:val="superscript"/>
        </w:rPr>
        <w:t>1</w:t>
      </w:r>
      <w:r w:rsidRPr="007E40AF">
        <w:rPr>
          <w:rStyle w:val="Hyperlink"/>
          <w:i/>
        </w:rPr>
        <w:t xml:space="preserve"> p3</w:t>
      </w:r>
      <w:r w:rsidRPr="007E40AF">
        <w:rPr>
          <w:i/>
          <w:vertAlign w:val="superscript"/>
        </w:rPr>
        <w:fldChar w:fldCharType="end"/>
      </w:r>
      <w:r>
        <w:rPr>
          <w:i/>
        </w:rPr>
        <w:t>)</w:t>
      </w:r>
      <w:r>
        <w:t xml:space="preserve">. With the increase in </w:t>
      </w:r>
      <w:proofErr w:type="gramStart"/>
      <w:r>
        <w:t>PEF</w:t>
      </w:r>
      <w:proofErr w:type="gramEnd"/>
      <w:r>
        <w:t xml:space="preserve"> funding the government is placing much greater scrutiny on spending and its impact. </w:t>
      </w:r>
    </w:p>
    <w:p w:rsidR="009B1174" w:rsidRDefault="009B1174" w:rsidP="009B1174">
      <w:pPr>
        <w:pStyle w:val="ListParagraph"/>
      </w:pPr>
    </w:p>
    <w:p w:rsidR="00B0455C" w:rsidRDefault="00B0455C" w:rsidP="009B1174">
      <w:pPr>
        <w:pStyle w:val="ListParagraph"/>
        <w:numPr>
          <w:ilvl w:val="0"/>
          <w:numId w:val="2"/>
        </w:numPr>
      </w:pPr>
      <w:r w:rsidRPr="005267A6">
        <w:rPr>
          <w:b/>
        </w:rPr>
        <w:t>PEF staffing remits</w:t>
      </w:r>
      <w:r>
        <w:t xml:space="preserve"> – Please ensure that all posts have a </w:t>
      </w:r>
      <w:proofErr w:type="gramStart"/>
      <w:r>
        <w:t>remit which</w:t>
      </w:r>
      <w:proofErr w:type="gramEnd"/>
      <w:r>
        <w:t xml:space="preserve"> is tackling issues where poverty is a barrier to learning and not simply a standard CA, Teacher or PT remit. The funding clearly states that staff should not be to replace staff.</w:t>
      </w:r>
    </w:p>
    <w:p w:rsidR="00AE1199" w:rsidRDefault="00AE1199" w:rsidP="00AE1199">
      <w:pPr>
        <w:pStyle w:val="ListParagraph"/>
        <w:rPr>
          <w:sz w:val="18"/>
          <w:szCs w:val="18"/>
        </w:rPr>
      </w:pPr>
      <w:r w:rsidRPr="00AE1199">
        <w:rPr>
          <w:sz w:val="18"/>
          <w:szCs w:val="18"/>
        </w:rPr>
        <w:t xml:space="preserve">(Ensure that the job remits and specifications are clearly tied to the aims of the intervention or approach </w:t>
      </w:r>
      <w:proofErr w:type="gramStart"/>
      <w:r w:rsidRPr="00AE1199">
        <w:rPr>
          <w:sz w:val="18"/>
          <w:szCs w:val="18"/>
        </w:rPr>
        <w:t xml:space="preserve">- </w:t>
      </w:r>
      <w:r w:rsidRPr="00AE1199">
        <w:rPr>
          <w:i/>
          <w:sz w:val="18"/>
          <w:szCs w:val="18"/>
        </w:rPr>
        <w:t xml:space="preserve"> </w:t>
      </w:r>
      <w:proofErr w:type="gramEnd"/>
      <w:r w:rsidRPr="00AE1199">
        <w:rPr>
          <w:i/>
          <w:sz w:val="18"/>
          <w:szCs w:val="18"/>
          <w:vertAlign w:val="superscript"/>
        </w:rPr>
        <w:fldChar w:fldCharType="begin"/>
      </w:r>
      <w:r w:rsidRPr="00AE1199">
        <w:rPr>
          <w:i/>
          <w:sz w:val="18"/>
          <w:szCs w:val="18"/>
          <w:vertAlign w:val="superscript"/>
        </w:rPr>
        <w:instrText xml:space="preserve"> HYPERLINK "pupil-equity-funding-national-operational-guidance-2022.pdf" </w:instrText>
      </w:r>
      <w:r w:rsidRPr="00AE1199">
        <w:rPr>
          <w:i/>
          <w:sz w:val="18"/>
          <w:szCs w:val="18"/>
          <w:vertAlign w:val="superscript"/>
        </w:rPr>
        <w:fldChar w:fldCharType="separate"/>
      </w:r>
      <w:r w:rsidRPr="00AE1199">
        <w:rPr>
          <w:rStyle w:val="Hyperlink"/>
          <w:i/>
          <w:sz w:val="18"/>
          <w:szCs w:val="18"/>
          <w:vertAlign w:val="superscript"/>
        </w:rPr>
        <w:t>1</w:t>
      </w:r>
      <w:r w:rsidRPr="00AE1199">
        <w:rPr>
          <w:rStyle w:val="Hyperlink"/>
          <w:i/>
          <w:sz w:val="18"/>
          <w:szCs w:val="18"/>
        </w:rPr>
        <w:t xml:space="preserve"> p9</w:t>
      </w:r>
      <w:r w:rsidRPr="00AE1199">
        <w:rPr>
          <w:i/>
          <w:sz w:val="18"/>
          <w:szCs w:val="18"/>
          <w:vertAlign w:val="superscript"/>
        </w:rPr>
        <w:fldChar w:fldCharType="end"/>
      </w:r>
      <w:r w:rsidRPr="00AE1199">
        <w:rPr>
          <w:i/>
          <w:sz w:val="18"/>
          <w:szCs w:val="18"/>
        </w:rPr>
        <w:t>)</w:t>
      </w:r>
      <w:r w:rsidRPr="00AE1199">
        <w:rPr>
          <w:sz w:val="18"/>
          <w:szCs w:val="18"/>
        </w:rPr>
        <w:t>.</w:t>
      </w:r>
    </w:p>
    <w:p w:rsidR="009B1174" w:rsidRPr="00AE1199" w:rsidRDefault="009B1174" w:rsidP="00AE1199">
      <w:pPr>
        <w:pStyle w:val="ListParagraph"/>
        <w:rPr>
          <w:sz w:val="18"/>
          <w:szCs w:val="18"/>
        </w:rPr>
      </w:pPr>
    </w:p>
    <w:p w:rsidR="00B0455C" w:rsidRDefault="00B0455C" w:rsidP="009B1174">
      <w:pPr>
        <w:pStyle w:val="ListParagraph"/>
        <w:numPr>
          <w:ilvl w:val="0"/>
          <w:numId w:val="2"/>
        </w:numPr>
      </w:pPr>
      <w:r w:rsidRPr="005267A6">
        <w:rPr>
          <w:b/>
        </w:rPr>
        <w:t>20 months contracts</w:t>
      </w:r>
      <w:r>
        <w:t xml:space="preserve"> – all PEF posts / roles should be design to last no longer than 20 months. If staff </w:t>
      </w:r>
      <w:proofErr w:type="gramStart"/>
      <w:r>
        <w:t>remain</w:t>
      </w:r>
      <w:proofErr w:type="gramEnd"/>
      <w:r>
        <w:t xml:space="preserve"> in their post / role for longer than this they will become permanent and if PEF was to end t</w:t>
      </w:r>
      <w:r w:rsidR="007E40AF">
        <w:t xml:space="preserve">heir wages would need to </w:t>
      </w:r>
      <w:r>
        <w:t>be paid from the school budget.</w:t>
      </w:r>
    </w:p>
    <w:p w:rsidR="009B1174" w:rsidRDefault="009B1174" w:rsidP="009B1174">
      <w:pPr>
        <w:pStyle w:val="ListParagraph"/>
      </w:pPr>
    </w:p>
    <w:p w:rsidR="00D84667" w:rsidRDefault="005267A6" w:rsidP="009B1174">
      <w:pPr>
        <w:pStyle w:val="ListParagraph"/>
        <w:numPr>
          <w:ilvl w:val="0"/>
          <w:numId w:val="2"/>
        </w:numPr>
      </w:pPr>
      <w:r w:rsidRPr="005267A6">
        <w:rPr>
          <w:b/>
        </w:rPr>
        <w:t>Overspend permitted</w:t>
      </w:r>
      <w:r>
        <w:t xml:space="preserve"> - </w:t>
      </w:r>
      <w:r w:rsidR="007E40AF">
        <w:t xml:space="preserve">If you are waiting on </w:t>
      </w:r>
      <w:r w:rsidR="005D1115">
        <w:t xml:space="preserve">next </w:t>
      </w:r>
      <w:proofErr w:type="gramStart"/>
      <w:r w:rsidR="005D1115">
        <w:t>year</w:t>
      </w:r>
      <w:r w:rsidR="007E40AF">
        <w:t>’</w:t>
      </w:r>
      <w:r w:rsidR="005D1115">
        <w:t>s</w:t>
      </w:r>
      <w:proofErr w:type="gramEnd"/>
      <w:r w:rsidR="005D1115">
        <w:t xml:space="preserve"> funding to order a resource then do not wait. As the funding has </w:t>
      </w:r>
      <w:proofErr w:type="gramStart"/>
      <w:r w:rsidR="005D1115">
        <w:t>been agreed</w:t>
      </w:r>
      <w:proofErr w:type="gramEnd"/>
      <w:r w:rsidR="005D1115">
        <w:t xml:space="preserve"> for 4 years you can have a negative equ</w:t>
      </w:r>
      <w:r w:rsidR="007467CE">
        <w:t>ity going into next year and it</w:t>
      </w:r>
      <w:r w:rsidR="005D1115">
        <w:t xml:space="preserve"> will </w:t>
      </w:r>
      <w:r w:rsidR="007467CE">
        <w:t xml:space="preserve">allow you to </w:t>
      </w:r>
      <w:r w:rsidR="005D1115">
        <w:t>get maximum impact out of the resource.</w:t>
      </w:r>
    </w:p>
    <w:p w:rsidR="009B1174" w:rsidRDefault="009B1174" w:rsidP="009B1174">
      <w:pPr>
        <w:pStyle w:val="ListParagraph"/>
      </w:pPr>
    </w:p>
    <w:p w:rsidR="005D1115" w:rsidRDefault="007E40AF" w:rsidP="009B1174">
      <w:pPr>
        <w:pStyle w:val="ListParagraph"/>
        <w:numPr>
          <w:ilvl w:val="0"/>
          <w:numId w:val="2"/>
        </w:numPr>
      </w:pPr>
      <w:r w:rsidRPr="009B1174">
        <w:rPr>
          <w:b/>
        </w:rPr>
        <w:t>Maternity</w:t>
      </w:r>
      <w:r w:rsidR="005267A6" w:rsidRPr="009B1174">
        <w:rPr>
          <w:b/>
        </w:rPr>
        <w:t xml:space="preserve"> leave payments</w:t>
      </w:r>
      <w:r w:rsidR="005267A6">
        <w:t xml:space="preserve"> - </w:t>
      </w:r>
      <w:r w:rsidR="005D1115">
        <w:t>If you appoint a member</w:t>
      </w:r>
      <w:r>
        <w:t xml:space="preserve"> of staff to a PEF post and they</w:t>
      </w:r>
      <w:r w:rsidR="005D1115">
        <w:t xml:space="preserve"> go off on mat</w:t>
      </w:r>
      <w:r>
        <w:t>ernity</w:t>
      </w:r>
      <w:r w:rsidR="005D1115">
        <w:t xml:space="preserve"> leave the school will be liable for the full </w:t>
      </w:r>
      <w:r>
        <w:t>maternity</w:t>
      </w:r>
      <w:r w:rsidR="005D1115">
        <w:t xml:space="preserve"> costs out of their PEF spend.</w:t>
      </w:r>
    </w:p>
    <w:p w:rsidR="00AE1199" w:rsidRDefault="00AE1199" w:rsidP="00AE1199">
      <w:pPr>
        <w:pStyle w:val="ListParagraph"/>
        <w:rPr>
          <w:sz w:val="18"/>
          <w:szCs w:val="18"/>
        </w:rPr>
      </w:pPr>
      <w:r w:rsidRPr="00AE1199">
        <w:rPr>
          <w:sz w:val="18"/>
          <w:szCs w:val="18"/>
        </w:rPr>
        <w:lastRenderedPageBreak/>
        <w:t>(“Not just salaries but also on-costs such as pensions, sick leave, maternity cover</w:t>
      </w:r>
      <w:proofErr w:type="gramStart"/>
      <w:r w:rsidRPr="00AE1199">
        <w:rPr>
          <w:sz w:val="18"/>
          <w:szCs w:val="18"/>
        </w:rPr>
        <w:t xml:space="preserve">” </w:t>
      </w:r>
      <w:r w:rsidRPr="00AE1199">
        <w:rPr>
          <w:i/>
          <w:sz w:val="18"/>
          <w:szCs w:val="18"/>
        </w:rPr>
        <w:t xml:space="preserve"> </w:t>
      </w:r>
      <w:proofErr w:type="gramEnd"/>
      <w:r w:rsidRPr="00AE1199">
        <w:rPr>
          <w:i/>
          <w:sz w:val="18"/>
          <w:szCs w:val="18"/>
          <w:vertAlign w:val="superscript"/>
        </w:rPr>
        <w:fldChar w:fldCharType="begin"/>
      </w:r>
      <w:r w:rsidRPr="00AE1199">
        <w:rPr>
          <w:i/>
          <w:sz w:val="18"/>
          <w:szCs w:val="18"/>
          <w:vertAlign w:val="superscript"/>
        </w:rPr>
        <w:instrText xml:space="preserve"> HYPERLINK "pupil-equity-funding-national-operational-guidance-2022.pdf" </w:instrText>
      </w:r>
      <w:r w:rsidRPr="00AE1199">
        <w:rPr>
          <w:i/>
          <w:sz w:val="18"/>
          <w:szCs w:val="18"/>
          <w:vertAlign w:val="superscript"/>
        </w:rPr>
        <w:fldChar w:fldCharType="separate"/>
      </w:r>
      <w:r w:rsidRPr="00AE1199">
        <w:rPr>
          <w:rStyle w:val="Hyperlink"/>
          <w:i/>
          <w:sz w:val="18"/>
          <w:szCs w:val="18"/>
          <w:vertAlign w:val="superscript"/>
        </w:rPr>
        <w:t>1</w:t>
      </w:r>
      <w:r w:rsidRPr="00AE1199">
        <w:rPr>
          <w:rStyle w:val="Hyperlink"/>
          <w:i/>
          <w:sz w:val="18"/>
          <w:szCs w:val="18"/>
        </w:rPr>
        <w:t xml:space="preserve"> p9</w:t>
      </w:r>
      <w:r w:rsidRPr="00AE1199">
        <w:rPr>
          <w:i/>
          <w:sz w:val="18"/>
          <w:szCs w:val="18"/>
          <w:vertAlign w:val="superscript"/>
        </w:rPr>
        <w:fldChar w:fldCharType="end"/>
      </w:r>
      <w:r w:rsidRPr="00AE1199">
        <w:rPr>
          <w:i/>
          <w:sz w:val="18"/>
          <w:szCs w:val="18"/>
        </w:rPr>
        <w:t>)</w:t>
      </w:r>
      <w:r w:rsidRPr="00AE1199">
        <w:rPr>
          <w:sz w:val="18"/>
          <w:szCs w:val="18"/>
        </w:rPr>
        <w:t>.</w:t>
      </w:r>
    </w:p>
    <w:p w:rsidR="009B1174" w:rsidRPr="00AE1199" w:rsidRDefault="009B1174" w:rsidP="00AE1199">
      <w:pPr>
        <w:pStyle w:val="ListParagraph"/>
        <w:rPr>
          <w:sz w:val="18"/>
          <w:szCs w:val="18"/>
        </w:rPr>
      </w:pPr>
    </w:p>
    <w:p w:rsidR="005267A6" w:rsidRDefault="0005204B" w:rsidP="009B1174">
      <w:pPr>
        <w:pStyle w:val="ListParagraph"/>
        <w:numPr>
          <w:ilvl w:val="0"/>
          <w:numId w:val="2"/>
        </w:numPr>
      </w:pPr>
      <w:r w:rsidRPr="00EA7A40">
        <w:rPr>
          <w:b/>
        </w:rPr>
        <w:t>Educational Attainment Catalogue</w:t>
      </w:r>
      <w:r w:rsidR="007E40AF">
        <w:t xml:space="preserve"> – I</w:t>
      </w:r>
      <w:r w:rsidR="005D1115">
        <w:t>f you have any surplus funding from this year or</w:t>
      </w:r>
      <w:r w:rsidR="007467CE">
        <w:t xml:space="preserve"> you</w:t>
      </w:r>
      <w:r w:rsidR="005D1115">
        <w:t xml:space="preserve"> </w:t>
      </w:r>
      <w:r w:rsidR="007E40AF">
        <w:t xml:space="preserve">are starting to </w:t>
      </w:r>
      <w:r w:rsidR="005D1115">
        <w:t xml:space="preserve">looking towards next year you may </w:t>
      </w:r>
      <w:r w:rsidR="005D1115" w:rsidRPr="009B1174">
        <w:t xml:space="preserve">find the </w:t>
      </w:r>
      <w:r>
        <w:t xml:space="preserve">Educational Attainment Catalogue </w:t>
      </w:r>
      <w:r w:rsidR="005D1115" w:rsidRPr="009B1174">
        <w:t>and advice sheet attached helpful.</w:t>
      </w:r>
      <w:r w:rsidR="005D1115">
        <w:t xml:space="preserve"> </w:t>
      </w:r>
      <w:r w:rsidR="005267A6">
        <w:t xml:space="preserve">Due diligence has been carried out on all the </w:t>
      </w:r>
      <w:r w:rsidR="007467CE">
        <w:t>providers</w:t>
      </w:r>
      <w:r w:rsidR="005267A6">
        <w:t xml:space="preserve"> </w:t>
      </w:r>
      <w:r w:rsidR="005D1115">
        <w:t>and services</w:t>
      </w:r>
      <w:r w:rsidR="007467CE">
        <w:t xml:space="preserve"> can be set up easily via PECOS.</w:t>
      </w:r>
      <w:r w:rsidR="005D1115">
        <w:t xml:space="preserve"> </w:t>
      </w:r>
      <w:r w:rsidR="005267A6">
        <w:t xml:space="preserve">If you would like to engage with a </w:t>
      </w:r>
      <w:r w:rsidR="007467CE">
        <w:t xml:space="preserve">provider / </w:t>
      </w:r>
      <w:r w:rsidR="005267A6">
        <w:t xml:space="preserve">service and it is not on the document then please contact Lesley McLean – </w:t>
      </w:r>
      <w:hyperlink r:id="rId11" w:history="1">
        <w:r w:rsidR="005267A6" w:rsidRPr="00104840">
          <w:rPr>
            <w:rStyle w:val="Hyperlink"/>
          </w:rPr>
          <w:t>Lesley.McLean@east-ayrshire.gov.uk</w:t>
        </w:r>
      </w:hyperlink>
      <w:r w:rsidR="007467CE">
        <w:t xml:space="preserve"> to see if we can get them added. </w:t>
      </w:r>
    </w:p>
    <w:p w:rsidR="009B1174" w:rsidRPr="007467CE" w:rsidRDefault="009B1174" w:rsidP="009B1174">
      <w:pPr>
        <w:pStyle w:val="ListParagraph"/>
      </w:pPr>
    </w:p>
    <w:p w:rsidR="007467CE" w:rsidRDefault="004E666A" w:rsidP="009B1174">
      <w:pPr>
        <w:pStyle w:val="ListParagraph"/>
        <w:numPr>
          <w:ilvl w:val="0"/>
          <w:numId w:val="2"/>
        </w:numPr>
      </w:pPr>
      <w:proofErr w:type="spellStart"/>
      <w:r w:rsidRPr="004E666A">
        <w:rPr>
          <w:b/>
        </w:rPr>
        <w:t>SiPs</w:t>
      </w:r>
      <w:proofErr w:type="spellEnd"/>
      <w:r w:rsidRPr="004E666A">
        <w:rPr>
          <w:b/>
        </w:rPr>
        <w:t xml:space="preserve"> and SQ reports</w:t>
      </w:r>
      <w:r w:rsidRPr="004E666A">
        <w:t xml:space="preserve"> - </w:t>
      </w:r>
      <w:proofErr w:type="spellStart"/>
      <w:r w:rsidRPr="004E666A">
        <w:t>SiPs</w:t>
      </w:r>
      <w:proofErr w:type="spellEnd"/>
      <w:r w:rsidRPr="004E666A">
        <w:t xml:space="preserve"> must provide clarity to stakeholders on how Pupil Equity Funding is being used and its expected impact. (</w:t>
      </w:r>
      <w:proofErr w:type="gramStart"/>
      <w:r w:rsidRPr="004E666A">
        <w:rPr>
          <w:rStyle w:val="Hyperlink"/>
          <w:vertAlign w:val="superscript"/>
        </w:rPr>
        <w:t>1</w:t>
      </w:r>
      <w:proofErr w:type="gramEnd"/>
      <w:r w:rsidRPr="004E666A">
        <w:rPr>
          <w:rStyle w:val="Hyperlink"/>
          <w:vertAlign w:val="superscript"/>
        </w:rPr>
        <w:t xml:space="preserve"> </w:t>
      </w:r>
      <w:hyperlink r:id="rId12" w:history="1">
        <w:r w:rsidRPr="004E666A">
          <w:rPr>
            <w:rStyle w:val="Hyperlink"/>
          </w:rPr>
          <w:t>p 2</w:t>
        </w:r>
      </w:hyperlink>
      <w:r w:rsidRPr="004E666A">
        <w:rPr>
          <w:rStyle w:val="Hyperlink"/>
        </w:rPr>
        <w:t>)</w:t>
      </w:r>
      <w:r w:rsidR="005762BE">
        <w:rPr>
          <w:rStyle w:val="Hyperlink"/>
        </w:rPr>
        <w:t xml:space="preserve">.  </w:t>
      </w:r>
      <w:r w:rsidR="005762BE" w:rsidRPr="005762BE">
        <w:rPr>
          <w:rStyle w:val="Hyperlink"/>
          <w:color w:val="auto"/>
          <w:u w:val="none"/>
        </w:rPr>
        <w:t>In S&amp;Q</w:t>
      </w:r>
      <w:r w:rsidRPr="005762BE">
        <w:t xml:space="preserve"> </w:t>
      </w:r>
      <w:r>
        <w:t>Reports HTs are required “to ensure that schools report explicitly on the impact of PEF</w:t>
      </w:r>
      <w:r w:rsidR="00C2716D">
        <w:t xml:space="preserve"> on the outcomes for learners impacted by poverty</w:t>
      </w:r>
      <w:r>
        <w:t xml:space="preserve">”. </w:t>
      </w:r>
      <w:hyperlink r:id="rId13" w:history="1">
        <w:r w:rsidRPr="004E666A">
          <w:rPr>
            <w:rStyle w:val="Hyperlink"/>
          </w:rPr>
          <w:t>(</w:t>
        </w:r>
        <w:r w:rsidRPr="004E666A">
          <w:rPr>
            <w:rStyle w:val="Hyperlink"/>
            <w:vertAlign w:val="superscript"/>
          </w:rPr>
          <w:t>2</w:t>
        </w:r>
        <w:r w:rsidRPr="004E666A">
          <w:rPr>
            <w:rStyle w:val="Hyperlink"/>
          </w:rPr>
          <w:t xml:space="preserve"> p3)</w:t>
        </w:r>
      </w:hyperlink>
    </w:p>
    <w:p w:rsidR="009B1174" w:rsidRDefault="009B1174" w:rsidP="009B1174">
      <w:pPr>
        <w:pStyle w:val="ListParagraph"/>
      </w:pPr>
    </w:p>
    <w:p w:rsidR="0091788D" w:rsidRDefault="009B1174" w:rsidP="00505164">
      <w:pPr>
        <w:pStyle w:val="ListParagraph"/>
        <w:numPr>
          <w:ilvl w:val="0"/>
          <w:numId w:val="2"/>
        </w:numPr>
      </w:pPr>
      <w:r w:rsidRPr="009B1174">
        <w:rPr>
          <w:b/>
        </w:rPr>
        <w:t>Consulting pupils and parents</w:t>
      </w:r>
      <w:r>
        <w:t xml:space="preserve"> – HTs should ensure that they “meaningfully involve children, young people and their parents in the planning, implementation and evaluation of PEF” </w:t>
      </w:r>
      <w:hyperlink r:id="rId14" w:history="1">
        <w:r w:rsidRPr="009B1174">
          <w:rPr>
            <w:rStyle w:val="Hyperlink"/>
          </w:rPr>
          <w:t>(</w:t>
        </w:r>
        <w:proofErr w:type="gramStart"/>
        <w:r w:rsidRPr="009B1174">
          <w:rPr>
            <w:rStyle w:val="Hyperlink"/>
            <w:vertAlign w:val="superscript"/>
          </w:rPr>
          <w:t>2</w:t>
        </w:r>
        <w:proofErr w:type="gramEnd"/>
        <w:r w:rsidRPr="009B1174">
          <w:rPr>
            <w:rStyle w:val="Hyperlink"/>
          </w:rPr>
          <w:t xml:space="preserve"> p5)</w:t>
        </w:r>
      </w:hyperlink>
      <w:r w:rsidR="00505164">
        <w:rPr>
          <w:rStyle w:val="Hyperlink"/>
        </w:rPr>
        <w:t xml:space="preserve">. </w:t>
      </w:r>
      <w:r w:rsidR="00505164">
        <w:t xml:space="preserve">A number of local authorities and schools are carrying out </w:t>
      </w:r>
      <w:r w:rsidR="00505164" w:rsidRPr="00505164">
        <w:rPr>
          <w:b/>
        </w:rPr>
        <w:t>proprietary budgeting</w:t>
      </w:r>
      <w:r w:rsidR="00505164">
        <w:t xml:space="preserve">. </w:t>
      </w:r>
    </w:p>
    <w:p w:rsidR="0091788D" w:rsidRPr="004E666A" w:rsidRDefault="0091788D" w:rsidP="0091788D">
      <w:pPr>
        <w:jc w:val="center"/>
      </w:pPr>
      <w:r>
        <w:rPr>
          <w:noProof/>
          <w:lang w:eastAsia="en-GB"/>
        </w:rPr>
        <w:drawing>
          <wp:inline distT="0" distB="0" distL="0" distR="0" wp14:anchorId="5594DA6F" wp14:editId="3F4949FB">
            <wp:extent cx="4622800" cy="3042771"/>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27378" cy="3045784"/>
                    </a:xfrm>
                    <a:prstGeom prst="rect">
                      <a:avLst/>
                    </a:prstGeom>
                  </pic:spPr>
                </pic:pic>
              </a:graphicData>
            </a:graphic>
          </wp:inline>
        </w:drawing>
      </w:r>
    </w:p>
    <w:sectPr w:rsidR="0091788D" w:rsidRPr="004E6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101AB"/>
    <w:multiLevelType w:val="hybridMultilevel"/>
    <w:tmpl w:val="892E357E"/>
    <w:lvl w:ilvl="0" w:tplc="23B41A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FF6D1D"/>
    <w:multiLevelType w:val="hybridMultilevel"/>
    <w:tmpl w:val="0178BFB8"/>
    <w:lvl w:ilvl="0" w:tplc="5EC07EB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67450E"/>
    <w:multiLevelType w:val="hybridMultilevel"/>
    <w:tmpl w:val="D0828D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190"/>
    <w:rsid w:val="0005204B"/>
    <w:rsid w:val="00224184"/>
    <w:rsid w:val="00300E5A"/>
    <w:rsid w:val="00336E83"/>
    <w:rsid w:val="00376DBA"/>
    <w:rsid w:val="003B271B"/>
    <w:rsid w:val="00404D62"/>
    <w:rsid w:val="00421E3F"/>
    <w:rsid w:val="004E666A"/>
    <w:rsid w:val="00501BB2"/>
    <w:rsid w:val="00505164"/>
    <w:rsid w:val="005267A6"/>
    <w:rsid w:val="005762BE"/>
    <w:rsid w:val="005D1115"/>
    <w:rsid w:val="005E71E2"/>
    <w:rsid w:val="00645ED5"/>
    <w:rsid w:val="007467CE"/>
    <w:rsid w:val="007E315F"/>
    <w:rsid w:val="007E40AF"/>
    <w:rsid w:val="00861B76"/>
    <w:rsid w:val="008628F8"/>
    <w:rsid w:val="00880190"/>
    <w:rsid w:val="0091788D"/>
    <w:rsid w:val="009B1174"/>
    <w:rsid w:val="00A7791C"/>
    <w:rsid w:val="00AE1199"/>
    <w:rsid w:val="00B0455C"/>
    <w:rsid w:val="00C2716D"/>
    <w:rsid w:val="00C66613"/>
    <w:rsid w:val="00CC5046"/>
    <w:rsid w:val="00D84667"/>
    <w:rsid w:val="00E948CF"/>
    <w:rsid w:val="00EA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D525"/>
  <w15:chartTrackingRefBased/>
  <w15:docId w15:val="{D1042CA8-1683-447C-9AC6-F7DD9E87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6D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6D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115"/>
    <w:pPr>
      <w:ind w:left="720"/>
      <w:contextualSpacing/>
    </w:pPr>
  </w:style>
  <w:style w:type="character" w:styleId="Hyperlink">
    <w:name w:val="Hyperlink"/>
    <w:basedOn w:val="DefaultParagraphFont"/>
    <w:uiPriority w:val="99"/>
    <w:unhideWhenUsed/>
    <w:rsid w:val="005267A6"/>
    <w:rPr>
      <w:color w:val="0563C1"/>
      <w:u w:val="single"/>
    </w:rPr>
  </w:style>
  <w:style w:type="character" w:customStyle="1" w:styleId="Heading1Char">
    <w:name w:val="Heading 1 Char"/>
    <w:basedOn w:val="DefaultParagraphFont"/>
    <w:link w:val="Heading1"/>
    <w:uiPriority w:val="9"/>
    <w:rsid w:val="00376DB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76DB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088158">
      <w:bodyDiv w:val="1"/>
      <w:marLeft w:val="0"/>
      <w:marRight w:val="0"/>
      <w:marTop w:val="0"/>
      <w:marBottom w:val="0"/>
      <w:divBdr>
        <w:top w:val="none" w:sz="0" w:space="0" w:color="auto"/>
        <w:left w:val="none" w:sz="0" w:space="0" w:color="auto"/>
        <w:bottom w:val="none" w:sz="0" w:space="0" w:color="auto"/>
        <w:right w:val="none" w:sz="0" w:space="0" w:color="auto"/>
      </w:divBdr>
    </w:div>
    <w:div w:id="16066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neilc\Desktop\new\PEF%20and%20CosD\pupil-equity-funding-looking-inwards-outwards-forwards3.pdf" TargetMode="External"/><Relationship Id="rId13" Type="http://schemas.openxmlformats.org/officeDocument/2006/relationships/hyperlink" Target="pupil-equity-funding-looking-inwards-outwards-forwards3.pdf" TargetMode="External"/><Relationship Id="rId3" Type="http://schemas.openxmlformats.org/officeDocument/2006/relationships/settings" Target="settings.xml"/><Relationship Id="rId7" Type="http://schemas.openxmlformats.org/officeDocument/2006/relationships/hyperlink" Target="file:///C:\Users\oneilc\Desktop\new\PEF%20and%20CosD\pupil-equity-funding-national-operational-guidance-2022.pdf" TargetMode="External"/><Relationship Id="rId12" Type="http://schemas.openxmlformats.org/officeDocument/2006/relationships/hyperlink" Target="file:///C:\Users\oneilc\Desktop\new\PEF%20and%20CosD\pupil-equity-funding-looking-inwards-outwards-forwards3.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oneilc\Desktop\new\PEF%20and%20CosD\pupil-equity-funding-looking-inwards-outwards-forwards3.pdf" TargetMode="External"/><Relationship Id="rId11" Type="http://schemas.openxmlformats.org/officeDocument/2006/relationships/hyperlink" Target="mailto:Lesley.McLean@east-ayrshire.gov.uk" TargetMode="External"/><Relationship Id="rId5" Type="http://schemas.openxmlformats.org/officeDocument/2006/relationships/hyperlink" Target="file:///C:\Users\oneilc\Desktop\new\PEF%20and%20CosD\pupil-equity-funding-national-operational-guidance-2022.pdf" TargetMode="External"/><Relationship Id="rId15" Type="http://schemas.openxmlformats.org/officeDocument/2006/relationships/image" Target="media/image1.png"/><Relationship Id="rId10" Type="http://schemas.openxmlformats.org/officeDocument/2006/relationships/hyperlink" Target="pupil-equity-funding-national-operational-guidance-2022.pdf" TargetMode="External"/><Relationship Id="rId4" Type="http://schemas.openxmlformats.org/officeDocument/2006/relationships/webSettings" Target="webSettings.xml"/><Relationship Id="rId9" Type="http://schemas.openxmlformats.org/officeDocument/2006/relationships/hyperlink" Target="pupil-equity-funding-national-operational-guidance-2022.pdf" TargetMode="External"/><Relationship Id="rId14" Type="http://schemas.openxmlformats.org/officeDocument/2006/relationships/hyperlink" Target="pupil-equity-funding-looking-inwards-outwards-forwards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Catrina</dc:creator>
  <cp:keywords/>
  <dc:description/>
  <cp:lastModifiedBy>O'Neil, Catrina</cp:lastModifiedBy>
  <cp:revision>22</cp:revision>
  <dcterms:created xsi:type="dcterms:W3CDTF">2022-10-17T16:48:00Z</dcterms:created>
  <dcterms:modified xsi:type="dcterms:W3CDTF">2023-03-17T16:59:00Z</dcterms:modified>
</cp:coreProperties>
</file>