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991" w:rsidRPr="00C37991" w:rsidRDefault="00C37991" w:rsidP="00C37991">
      <w:pPr>
        <w:shd w:val="clear" w:color="auto" w:fill="DC1477"/>
        <w:spacing w:after="300" w:line="240" w:lineRule="atLeast"/>
        <w:textAlignment w:val="baseline"/>
        <w:outlineLvl w:val="0"/>
        <w:rPr>
          <w:rFonts w:eastAsia="Times New Roman" w:cstheme="minorHAnsi"/>
          <w:b/>
          <w:bCs/>
          <w:color w:val="FFFFFF"/>
          <w:kern w:val="36"/>
          <w:sz w:val="56"/>
          <w:szCs w:val="56"/>
          <w:lang w:eastAsia="en-GB"/>
        </w:rPr>
      </w:pPr>
      <w:r w:rsidRPr="00C37991">
        <w:rPr>
          <w:rFonts w:eastAsia="Times New Roman" w:cstheme="minorHAnsi"/>
          <w:b/>
          <w:bCs/>
          <w:color w:val="FFFFFF"/>
          <w:kern w:val="36"/>
          <w:sz w:val="56"/>
          <w:szCs w:val="56"/>
          <w:lang w:eastAsia="en-GB"/>
        </w:rPr>
        <w:t xml:space="preserve">Site - </w:t>
      </w:r>
      <w:hyperlink r:id="rId5" w:history="1">
        <w:r w:rsidRPr="00C37991">
          <w:rPr>
            <w:rStyle w:val="Hyperlink"/>
            <w:rFonts w:eastAsia="Times New Roman" w:cstheme="minorHAnsi"/>
            <w:b/>
            <w:bCs/>
            <w:kern w:val="36"/>
            <w:sz w:val="56"/>
            <w:szCs w:val="56"/>
            <w:lang w:eastAsia="en-GB"/>
          </w:rPr>
          <w:t>https://www.theschoolrun.com/overview-scottish-education-system</w:t>
        </w:r>
      </w:hyperlink>
      <w:bookmarkStart w:id="0" w:name="_GoBack"/>
      <w:bookmarkEnd w:id="0"/>
    </w:p>
    <w:p w:rsidR="00C37991" w:rsidRDefault="00C37991" w:rsidP="00C37991">
      <w:pPr>
        <w:shd w:val="clear" w:color="auto" w:fill="DC1477"/>
        <w:spacing w:after="300" w:line="240" w:lineRule="atLeast"/>
        <w:textAlignment w:val="baseline"/>
        <w:outlineLvl w:val="0"/>
        <w:rPr>
          <w:rFonts w:ascii="inherit" w:eastAsia="Times New Roman" w:hAnsi="inherit" w:cs="Times New Roman"/>
          <w:b/>
          <w:bCs/>
          <w:color w:val="FFFFFF"/>
          <w:kern w:val="36"/>
          <w:sz w:val="24"/>
          <w:szCs w:val="24"/>
          <w:lang w:eastAsia="en-GB"/>
        </w:rPr>
      </w:pPr>
    </w:p>
    <w:p w:rsidR="00C37991" w:rsidRDefault="00C37991" w:rsidP="00C37991">
      <w:pPr>
        <w:shd w:val="clear" w:color="auto" w:fill="DC1477"/>
        <w:spacing w:after="300" w:line="240" w:lineRule="atLeast"/>
        <w:textAlignment w:val="baseline"/>
        <w:outlineLvl w:val="0"/>
        <w:rPr>
          <w:rFonts w:ascii="inherit" w:eastAsia="Times New Roman" w:hAnsi="inherit" w:cs="Times New Roman"/>
          <w:b/>
          <w:bCs/>
          <w:color w:val="FFFFFF"/>
          <w:kern w:val="36"/>
          <w:sz w:val="24"/>
          <w:szCs w:val="24"/>
          <w:lang w:eastAsia="en-GB"/>
        </w:rPr>
      </w:pPr>
    </w:p>
    <w:p w:rsidR="00C37991" w:rsidRPr="00C37991" w:rsidRDefault="00C37991" w:rsidP="00C37991">
      <w:pPr>
        <w:shd w:val="clear" w:color="auto" w:fill="DC1477"/>
        <w:spacing w:after="300" w:line="240" w:lineRule="atLeast"/>
        <w:textAlignment w:val="baseline"/>
        <w:outlineLvl w:val="0"/>
        <w:rPr>
          <w:rFonts w:ascii="inherit" w:eastAsia="Times New Roman" w:hAnsi="inherit" w:cs="Times New Roman"/>
          <w:b/>
          <w:bCs/>
          <w:color w:val="FFFFFF"/>
          <w:kern w:val="36"/>
          <w:sz w:val="24"/>
          <w:szCs w:val="24"/>
          <w:lang w:eastAsia="en-GB"/>
        </w:rPr>
      </w:pPr>
      <w:r w:rsidRPr="00C37991">
        <w:rPr>
          <w:rFonts w:ascii="inherit" w:eastAsia="Times New Roman" w:hAnsi="inherit" w:cs="Times New Roman"/>
          <w:b/>
          <w:bCs/>
          <w:color w:val="FFFFFF"/>
          <w:kern w:val="36"/>
          <w:sz w:val="24"/>
          <w:szCs w:val="24"/>
          <w:lang w:eastAsia="en-GB"/>
        </w:rPr>
        <w:t>An overview of the Scottish education system</w:t>
      </w:r>
    </w:p>
    <w:p w:rsidR="00C37991" w:rsidRPr="00C37991" w:rsidRDefault="00C37991" w:rsidP="00C37991">
      <w:pPr>
        <w:spacing w:line="240" w:lineRule="auto"/>
        <w:jc w:val="center"/>
        <w:textAlignment w:val="baseline"/>
        <w:rPr>
          <w:rFonts w:ascii="Times New Roman" w:eastAsia="Times New Roman" w:hAnsi="Times New Roman" w:cs="Times New Roman"/>
          <w:sz w:val="24"/>
          <w:szCs w:val="24"/>
          <w:lang w:eastAsia="en-GB"/>
        </w:rPr>
      </w:pPr>
      <w:r w:rsidRPr="00C37991">
        <w:rPr>
          <w:rFonts w:ascii="Times New Roman" w:eastAsia="Times New Roman" w:hAnsi="Times New Roman" w:cs="Times New Roman"/>
          <w:noProof/>
          <w:sz w:val="24"/>
          <w:szCs w:val="24"/>
          <w:lang w:eastAsia="en-GB"/>
        </w:rPr>
        <w:drawing>
          <wp:inline distT="0" distB="0" distL="0" distR="0">
            <wp:extent cx="1790700" cy="1409700"/>
            <wp:effectExtent l="0" t="0" r="0" b="0"/>
            <wp:docPr id="1" name="Picture 1" descr="Scotland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land fla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409700"/>
                    </a:xfrm>
                    <a:prstGeom prst="rect">
                      <a:avLst/>
                    </a:prstGeom>
                    <a:noFill/>
                    <a:ln>
                      <a:noFill/>
                    </a:ln>
                  </pic:spPr>
                </pic:pic>
              </a:graphicData>
            </a:graphic>
          </wp:inline>
        </w:drawing>
      </w:r>
    </w:p>
    <w:p w:rsidR="00C37991" w:rsidRPr="00C37991" w:rsidRDefault="00C37991" w:rsidP="00C37991">
      <w:pPr>
        <w:spacing w:line="240" w:lineRule="auto"/>
        <w:textAlignment w:val="baseline"/>
        <w:rPr>
          <w:rFonts w:ascii="Times New Roman" w:eastAsia="Times New Roman" w:hAnsi="Times New Roman" w:cs="Times New Roman"/>
          <w:sz w:val="24"/>
          <w:szCs w:val="24"/>
          <w:lang w:eastAsia="en-GB"/>
        </w:rPr>
      </w:pPr>
      <w:r w:rsidRPr="00C37991">
        <w:rPr>
          <w:rFonts w:ascii="Times New Roman" w:eastAsia="Times New Roman" w:hAnsi="Times New Roman" w:cs="Times New Roman"/>
          <w:sz w:val="24"/>
          <w:szCs w:val="24"/>
          <w:lang w:eastAsia="en-GB"/>
        </w:rPr>
        <w:t>How does the school education system work in Scotland? What are the differences between the National Curriculum and the Curriculum for Excellence? We explain how students are assessed within both systems in the UK.</w:t>
      </w:r>
    </w:p>
    <w:p w:rsidR="00C37991" w:rsidRPr="00C37991" w:rsidRDefault="00C37991" w:rsidP="00C37991">
      <w:pPr>
        <w:spacing w:after="0" w:line="240" w:lineRule="auto"/>
        <w:textAlignment w:val="baseline"/>
        <w:rPr>
          <w:rFonts w:ascii="Times New Roman" w:eastAsia="Times New Roman" w:hAnsi="Times New Roman" w:cs="Times New Roman"/>
          <w:sz w:val="24"/>
          <w:szCs w:val="24"/>
          <w:lang w:eastAsia="en-GB"/>
        </w:rPr>
      </w:pPr>
      <w:r w:rsidRPr="00C37991">
        <w:rPr>
          <w:rFonts w:ascii="Times New Roman" w:eastAsia="Times New Roman" w:hAnsi="Times New Roman" w:cs="Times New Roman"/>
          <w:sz w:val="24"/>
          <w:szCs w:val="24"/>
          <w:lang w:eastAsia="en-GB"/>
        </w:rPr>
        <w:t xml:space="preserve">Scotland has its own qualification framework that is separate from the one set for England, Wales and Northern Ireland, but each one is recognised around the UK. </w:t>
      </w:r>
      <w:hyperlink r:id="rId7" w:history="1">
        <w:r w:rsidRPr="00C37991">
          <w:rPr>
            <w:rFonts w:ascii="Times New Roman" w:eastAsia="Times New Roman" w:hAnsi="Times New Roman" w:cs="Times New Roman"/>
            <w:color w:val="FA871E"/>
            <w:sz w:val="24"/>
            <w:szCs w:val="24"/>
            <w:u w:val="single"/>
            <w:bdr w:val="none" w:sz="0" w:space="0" w:color="auto" w:frame="1"/>
            <w:lang w:eastAsia="en-GB"/>
          </w:rPr>
          <w:t>England</w:t>
        </w:r>
      </w:hyperlink>
      <w:r w:rsidRPr="00C37991">
        <w:rPr>
          <w:rFonts w:ascii="Times New Roman" w:eastAsia="Times New Roman" w:hAnsi="Times New Roman" w:cs="Times New Roman"/>
          <w:sz w:val="24"/>
          <w:szCs w:val="24"/>
          <w:lang w:eastAsia="en-GB"/>
        </w:rPr>
        <w:t xml:space="preserve"> and </w:t>
      </w:r>
      <w:hyperlink r:id="rId8" w:history="1">
        <w:r w:rsidRPr="00C37991">
          <w:rPr>
            <w:rFonts w:ascii="Times New Roman" w:eastAsia="Times New Roman" w:hAnsi="Times New Roman" w:cs="Times New Roman"/>
            <w:color w:val="FA871E"/>
            <w:sz w:val="24"/>
            <w:szCs w:val="24"/>
            <w:u w:val="single"/>
            <w:bdr w:val="none" w:sz="0" w:space="0" w:color="auto" w:frame="1"/>
            <w:lang w:eastAsia="en-GB"/>
          </w:rPr>
          <w:t>Wales</w:t>
        </w:r>
      </w:hyperlink>
      <w:r w:rsidRPr="00C37991">
        <w:rPr>
          <w:rFonts w:ascii="Times New Roman" w:eastAsia="Times New Roman" w:hAnsi="Times New Roman" w:cs="Times New Roman"/>
          <w:sz w:val="24"/>
          <w:szCs w:val="24"/>
          <w:lang w:eastAsia="en-GB"/>
        </w:rPr>
        <w:t xml:space="preserve"> follow the National Curriculum (with the exception of the Foundation Phase in Wales), </w:t>
      </w:r>
      <w:hyperlink r:id="rId9" w:history="1">
        <w:r w:rsidRPr="00C37991">
          <w:rPr>
            <w:rFonts w:ascii="Times New Roman" w:eastAsia="Times New Roman" w:hAnsi="Times New Roman" w:cs="Times New Roman"/>
            <w:color w:val="FA871E"/>
            <w:sz w:val="24"/>
            <w:szCs w:val="24"/>
            <w:u w:val="single"/>
            <w:bdr w:val="none" w:sz="0" w:space="0" w:color="auto" w:frame="1"/>
            <w:lang w:eastAsia="en-GB"/>
          </w:rPr>
          <w:t>Northern Ireland</w:t>
        </w:r>
      </w:hyperlink>
      <w:r w:rsidRPr="00C37991">
        <w:rPr>
          <w:rFonts w:ascii="Times New Roman" w:eastAsia="Times New Roman" w:hAnsi="Times New Roman" w:cs="Times New Roman"/>
          <w:sz w:val="24"/>
          <w:szCs w:val="24"/>
          <w:lang w:eastAsia="en-GB"/>
        </w:rPr>
        <w:t xml:space="preserve"> follows the Northern Ireland Curriculum and Scotland follows the </w:t>
      </w:r>
      <w:hyperlink r:id="rId10" w:tgtFrame="_blank" w:history="1">
        <w:r w:rsidRPr="00C37991">
          <w:rPr>
            <w:rFonts w:ascii="Times New Roman" w:eastAsia="Times New Roman" w:hAnsi="Times New Roman" w:cs="Times New Roman"/>
            <w:color w:val="FA871E"/>
            <w:sz w:val="24"/>
            <w:szCs w:val="24"/>
            <w:u w:val="single"/>
            <w:bdr w:val="none" w:sz="0" w:space="0" w:color="auto" w:frame="1"/>
            <w:lang w:eastAsia="en-GB"/>
          </w:rPr>
          <w:t>Curriculum for Excellence</w:t>
        </w:r>
      </w:hyperlink>
      <w:r w:rsidRPr="00C37991">
        <w:rPr>
          <w:rFonts w:ascii="Times New Roman" w:eastAsia="Times New Roman" w:hAnsi="Times New Roman" w:cs="Times New Roman"/>
          <w:sz w:val="24"/>
          <w:szCs w:val="24"/>
          <w:lang w:eastAsia="en-GB"/>
        </w:rPr>
        <w:t xml:space="preserve"> (also known as the </w:t>
      </w:r>
      <w:proofErr w:type="spellStart"/>
      <w:r w:rsidRPr="00C37991">
        <w:rPr>
          <w:rFonts w:ascii="Times New Roman" w:eastAsia="Times New Roman" w:hAnsi="Times New Roman" w:cs="Times New Roman"/>
          <w:sz w:val="24"/>
          <w:szCs w:val="24"/>
          <w:lang w:eastAsia="en-GB"/>
        </w:rPr>
        <w:t>CfE</w:t>
      </w:r>
      <w:proofErr w:type="spellEnd"/>
      <w:r w:rsidRPr="00C37991">
        <w:rPr>
          <w:rFonts w:ascii="Times New Roman" w:eastAsia="Times New Roman" w:hAnsi="Times New Roman" w:cs="Times New Roman"/>
          <w:sz w:val="24"/>
          <w:szCs w:val="24"/>
          <w:lang w:eastAsia="en-GB"/>
        </w:rPr>
        <w:t>) for nursery, primary and secondary schools.</w:t>
      </w:r>
    </w:p>
    <w:p w:rsidR="00C37991" w:rsidRDefault="00C37991" w:rsidP="00C37991">
      <w:pPr>
        <w:spacing w:after="270" w:line="240" w:lineRule="auto"/>
        <w:textAlignment w:val="baseline"/>
        <w:rPr>
          <w:rFonts w:ascii="Times New Roman" w:eastAsia="Times New Roman" w:hAnsi="Times New Roman" w:cs="Times New Roman"/>
          <w:sz w:val="24"/>
          <w:szCs w:val="24"/>
          <w:lang w:eastAsia="en-GB"/>
        </w:rPr>
      </w:pPr>
      <w:r w:rsidRPr="00C37991">
        <w:rPr>
          <w:rFonts w:ascii="Times New Roman" w:eastAsia="Times New Roman" w:hAnsi="Times New Roman" w:cs="Times New Roman"/>
          <w:sz w:val="24"/>
          <w:szCs w:val="24"/>
          <w:lang w:eastAsia="en-GB"/>
        </w:rPr>
        <w:t>Children in Scotland complete seven years of primary school, starting in P1 (the equivalent of Reception classes in England), going up to P7 (the equivalent of Year 7 in England). After this, they do six years of secondary school from S1 to S6 (equivalent to Y8 to Y13 in England). Secondary schools in Scotland are also known as high schools or academies.</w:t>
      </w:r>
    </w:p>
    <w:p w:rsidR="00C37991" w:rsidRDefault="00C37991" w:rsidP="00C37991">
      <w:pPr>
        <w:spacing w:after="270" w:line="240" w:lineRule="auto"/>
        <w:textAlignment w:val="baseline"/>
        <w:rPr>
          <w:rFonts w:ascii="Times New Roman" w:eastAsia="Times New Roman" w:hAnsi="Times New Roman" w:cs="Times New Roman"/>
          <w:sz w:val="24"/>
          <w:szCs w:val="24"/>
          <w:lang w:eastAsia="en-GB"/>
        </w:rPr>
      </w:pPr>
    </w:p>
    <w:p w:rsidR="00C37991" w:rsidRDefault="00C37991" w:rsidP="00C37991">
      <w:pPr>
        <w:pStyle w:val="Heading2"/>
        <w:shd w:val="clear" w:color="auto" w:fill="FA871E"/>
        <w:spacing w:before="300" w:after="300" w:line="240" w:lineRule="atLeast"/>
        <w:textAlignment w:val="baseline"/>
        <w:rPr>
          <w:rFonts w:ascii="inherit" w:hAnsi="inherit"/>
          <w:color w:val="FFFFFF"/>
          <w:sz w:val="24"/>
          <w:szCs w:val="24"/>
        </w:rPr>
      </w:pPr>
      <w:r>
        <w:rPr>
          <w:rFonts w:ascii="inherit" w:hAnsi="inherit"/>
          <w:color w:val="FFFFFF"/>
          <w:sz w:val="24"/>
          <w:szCs w:val="24"/>
        </w:rPr>
        <w:t>What is the Curriculum for Excellence?</w:t>
      </w:r>
    </w:p>
    <w:p w:rsidR="00C37991" w:rsidRDefault="00C37991" w:rsidP="00C37991">
      <w:pPr>
        <w:pStyle w:val="NormalWeb"/>
        <w:spacing w:before="0" w:beforeAutospacing="0" w:after="270" w:afterAutospacing="0"/>
        <w:textAlignment w:val="baseline"/>
        <w:rPr>
          <w:rFonts w:ascii="&amp;quot" w:hAnsi="&amp;quot"/>
          <w:color w:val="333333"/>
        </w:rPr>
      </w:pPr>
      <w:r>
        <w:rPr>
          <w:rFonts w:ascii="&amp;quot" w:hAnsi="&amp;quot"/>
          <w:color w:val="333333"/>
        </w:rPr>
        <w:t>The Curriculum for Excellence is a major educational reform with the aim of providing a wider, more flexible range of courses and subjects. As the Scottish government only sets guidelines about the school curriculum, schools needn’t stick to rigid learning paths and can make their own decisions on what to teach pupils.</w:t>
      </w:r>
    </w:p>
    <w:p w:rsidR="00C37991" w:rsidRDefault="00C37991" w:rsidP="00C37991">
      <w:pPr>
        <w:pStyle w:val="NormalWeb"/>
        <w:spacing w:before="0" w:beforeAutospacing="0" w:after="270" w:afterAutospacing="0"/>
        <w:textAlignment w:val="baseline"/>
        <w:rPr>
          <w:rFonts w:ascii="&amp;quot" w:hAnsi="&amp;quot"/>
          <w:color w:val="333333"/>
        </w:rPr>
      </w:pPr>
      <w:r>
        <w:rPr>
          <w:rFonts w:ascii="&amp;quot" w:hAnsi="&amp;quot"/>
          <w:color w:val="333333"/>
        </w:rPr>
        <w:t>There are three core subjects that schools must ensure are taught: health and wellbeing, literacy and numeracy. Other than that, they’re free to:</w:t>
      </w:r>
    </w:p>
    <w:p w:rsidR="00C37991" w:rsidRDefault="00C37991" w:rsidP="00C37991">
      <w:pPr>
        <w:numPr>
          <w:ilvl w:val="0"/>
          <w:numId w:val="1"/>
        </w:numPr>
        <w:spacing w:after="0" w:line="240" w:lineRule="auto"/>
        <w:ind w:left="300"/>
        <w:rPr>
          <w:rFonts w:ascii="&amp;quot" w:hAnsi="&amp;quot"/>
          <w:color w:val="333333"/>
        </w:rPr>
      </w:pPr>
      <w:r>
        <w:rPr>
          <w:rFonts w:ascii="&amp;quot" w:hAnsi="&amp;quot"/>
          <w:color w:val="333333"/>
        </w:rPr>
        <w:lastRenderedPageBreak/>
        <w:t>introduce projects that use skills and knowledge from more than one subject, leading to joined-up learning</w:t>
      </w:r>
    </w:p>
    <w:p w:rsidR="00C37991" w:rsidRDefault="00C37991" w:rsidP="00C37991">
      <w:pPr>
        <w:numPr>
          <w:ilvl w:val="0"/>
          <w:numId w:val="1"/>
        </w:numPr>
        <w:spacing w:after="0" w:line="240" w:lineRule="auto"/>
        <w:ind w:left="300"/>
        <w:rPr>
          <w:rFonts w:ascii="&amp;quot" w:hAnsi="&amp;quot"/>
          <w:color w:val="333333"/>
        </w:rPr>
      </w:pPr>
      <w:r>
        <w:rPr>
          <w:rFonts w:ascii="&amp;quot" w:hAnsi="&amp;quot"/>
          <w:color w:val="333333"/>
        </w:rPr>
        <w:t>teach about people and places from their local area</w:t>
      </w:r>
    </w:p>
    <w:p w:rsidR="00C37991" w:rsidRDefault="00C37991" w:rsidP="00C37991">
      <w:pPr>
        <w:numPr>
          <w:ilvl w:val="0"/>
          <w:numId w:val="1"/>
        </w:numPr>
        <w:spacing w:after="0" w:line="240" w:lineRule="auto"/>
        <w:ind w:left="300"/>
        <w:rPr>
          <w:rFonts w:ascii="&amp;quot" w:hAnsi="&amp;quot"/>
          <w:color w:val="333333"/>
        </w:rPr>
      </w:pPr>
      <w:r>
        <w:rPr>
          <w:rFonts w:ascii="&amp;quot" w:hAnsi="&amp;quot"/>
          <w:color w:val="333333"/>
        </w:rPr>
        <w:t>ask pupils about areas they’re interested in studying</w:t>
      </w:r>
    </w:p>
    <w:p w:rsidR="00C37991" w:rsidRDefault="00C37991" w:rsidP="00C37991">
      <w:pPr>
        <w:pStyle w:val="Heading2"/>
        <w:shd w:val="clear" w:color="auto" w:fill="FA871E"/>
        <w:spacing w:before="300" w:after="300" w:line="240" w:lineRule="atLeast"/>
        <w:textAlignment w:val="baseline"/>
        <w:rPr>
          <w:rFonts w:ascii="inherit" w:hAnsi="inherit"/>
          <w:color w:val="FFFFFF"/>
          <w:sz w:val="24"/>
          <w:szCs w:val="24"/>
        </w:rPr>
      </w:pPr>
      <w:r>
        <w:rPr>
          <w:rFonts w:ascii="inherit" w:hAnsi="inherit"/>
          <w:color w:val="FFFFFF"/>
          <w:sz w:val="24"/>
          <w:szCs w:val="24"/>
        </w:rPr>
        <w:t>What qualifications are there in Scotland?</w:t>
      </w:r>
    </w:p>
    <w:p w:rsidR="00C37991" w:rsidRDefault="00C37991" w:rsidP="00C37991">
      <w:pPr>
        <w:pStyle w:val="NormalWeb"/>
        <w:spacing w:before="0" w:beforeAutospacing="0" w:after="270" w:afterAutospacing="0"/>
        <w:textAlignment w:val="baseline"/>
        <w:rPr>
          <w:rFonts w:ascii="&amp;quot" w:hAnsi="&amp;quot"/>
          <w:color w:val="333333"/>
        </w:rPr>
      </w:pPr>
      <w:r>
        <w:rPr>
          <w:rFonts w:ascii="&amp;quot" w:hAnsi="&amp;quot"/>
          <w:color w:val="333333"/>
        </w:rPr>
        <w:t>Between 2013 and 2016, three new qualifications were introduced: Nationals, Highers and Advanced Highers. This is what they’re replacing:</w:t>
      </w:r>
    </w:p>
    <w:p w:rsidR="00C37991" w:rsidRDefault="00C37991" w:rsidP="00C37991">
      <w:pPr>
        <w:numPr>
          <w:ilvl w:val="0"/>
          <w:numId w:val="2"/>
        </w:numPr>
        <w:spacing w:after="0" w:line="240" w:lineRule="auto"/>
        <w:ind w:left="300"/>
        <w:rPr>
          <w:rFonts w:ascii="&amp;quot" w:hAnsi="&amp;quot"/>
          <w:color w:val="333333"/>
        </w:rPr>
      </w:pPr>
      <w:r>
        <w:rPr>
          <w:rStyle w:val="Strong"/>
          <w:rFonts w:ascii="&amp;quot" w:hAnsi="&amp;quot"/>
          <w:color w:val="333333"/>
          <w:bdr w:val="none" w:sz="0" w:space="0" w:color="auto" w:frame="1"/>
        </w:rPr>
        <w:t>National 1</w:t>
      </w:r>
      <w:r>
        <w:rPr>
          <w:rFonts w:ascii="&amp;quot" w:hAnsi="&amp;quot"/>
          <w:color w:val="333333"/>
        </w:rPr>
        <w:t xml:space="preserve"> and </w:t>
      </w:r>
      <w:r>
        <w:rPr>
          <w:rStyle w:val="Strong"/>
          <w:rFonts w:ascii="&amp;quot" w:hAnsi="&amp;quot"/>
          <w:color w:val="333333"/>
          <w:bdr w:val="none" w:sz="0" w:space="0" w:color="auto" w:frame="1"/>
        </w:rPr>
        <w:t>National 2</w:t>
      </w:r>
      <w:r>
        <w:rPr>
          <w:rFonts w:ascii="&amp;quot" w:hAnsi="&amp;quot"/>
          <w:color w:val="333333"/>
        </w:rPr>
        <w:t xml:space="preserve"> replacing Access 1 and Access 2</w:t>
      </w:r>
    </w:p>
    <w:p w:rsidR="00C37991" w:rsidRDefault="00C37991" w:rsidP="00C37991">
      <w:pPr>
        <w:numPr>
          <w:ilvl w:val="0"/>
          <w:numId w:val="2"/>
        </w:numPr>
        <w:spacing w:after="0" w:line="240" w:lineRule="auto"/>
        <w:ind w:left="300"/>
        <w:rPr>
          <w:rFonts w:ascii="&amp;quot" w:hAnsi="&amp;quot"/>
          <w:color w:val="333333"/>
        </w:rPr>
      </w:pPr>
      <w:r>
        <w:rPr>
          <w:rStyle w:val="Strong"/>
          <w:rFonts w:ascii="&amp;quot" w:hAnsi="&amp;quot"/>
          <w:color w:val="333333"/>
          <w:bdr w:val="none" w:sz="0" w:space="0" w:color="auto" w:frame="1"/>
        </w:rPr>
        <w:t>National 3</w:t>
      </w:r>
      <w:r>
        <w:rPr>
          <w:rFonts w:ascii="&amp;quot" w:hAnsi="&amp;quot"/>
          <w:color w:val="333333"/>
        </w:rPr>
        <w:t xml:space="preserve"> replacing Access 3 and Standard Grade (Foundation Level)</w:t>
      </w:r>
    </w:p>
    <w:p w:rsidR="00C37991" w:rsidRDefault="00C37991" w:rsidP="00C37991">
      <w:pPr>
        <w:numPr>
          <w:ilvl w:val="0"/>
          <w:numId w:val="2"/>
        </w:numPr>
        <w:spacing w:after="0" w:line="240" w:lineRule="auto"/>
        <w:ind w:left="300"/>
        <w:rPr>
          <w:rFonts w:ascii="&amp;quot" w:hAnsi="&amp;quot"/>
          <w:color w:val="333333"/>
        </w:rPr>
      </w:pPr>
      <w:r>
        <w:rPr>
          <w:rStyle w:val="Strong"/>
          <w:rFonts w:ascii="&amp;quot" w:hAnsi="&amp;quot"/>
          <w:color w:val="333333"/>
          <w:bdr w:val="none" w:sz="0" w:space="0" w:color="auto" w:frame="1"/>
        </w:rPr>
        <w:t>National 4</w:t>
      </w:r>
      <w:r>
        <w:rPr>
          <w:rFonts w:ascii="&amp;quot" w:hAnsi="&amp;quot"/>
          <w:color w:val="333333"/>
        </w:rPr>
        <w:t xml:space="preserve"> replacing Standard Grade (General Level) and Intermediate 1</w:t>
      </w:r>
    </w:p>
    <w:p w:rsidR="00C37991" w:rsidRDefault="00C37991" w:rsidP="00C37991">
      <w:pPr>
        <w:numPr>
          <w:ilvl w:val="0"/>
          <w:numId w:val="2"/>
        </w:numPr>
        <w:spacing w:after="0" w:line="240" w:lineRule="auto"/>
        <w:ind w:left="300"/>
        <w:rPr>
          <w:rFonts w:ascii="&amp;quot" w:hAnsi="&amp;quot"/>
          <w:color w:val="333333"/>
        </w:rPr>
      </w:pPr>
      <w:r>
        <w:rPr>
          <w:rStyle w:val="Strong"/>
          <w:rFonts w:ascii="&amp;quot" w:hAnsi="&amp;quot"/>
          <w:color w:val="333333"/>
          <w:bdr w:val="none" w:sz="0" w:space="0" w:color="auto" w:frame="1"/>
        </w:rPr>
        <w:t>National 5</w:t>
      </w:r>
      <w:r>
        <w:rPr>
          <w:rFonts w:ascii="&amp;quot" w:hAnsi="&amp;quot"/>
          <w:color w:val="333333"/>
        </w:rPr>
        <w:t xml:space="preserve"> replacing Standard Grade (Credit Level) and Intermediate 2</w:t>
      </w:r>
    </w:p>
    <w:p w:rsidR="00C37991" w:rsidRDefault="00C37991" w:rsidP="00C37991">
      <w:pPr>
        <w:numPr>
          <w:ilvl w:val="0"/>
          <w:numId w:val="2"/>
        </w:numPr>
        <w:spacing w:after="0" w:line="240" w:lineRule="auto"/>
        <w:ind w:left="300"/>
        <w:rPr>
          <w:rFonts w:ascii="&amp;quot" w:hAnsi="&amp;quot"/>
          <w:color w:val="333333"/>
        </w:rPr>
      </w:pPr>
      <w:r>
        <w:rPr>
          <w:rStyle w:val="Strong"/>
          <w:rFonts w:ascii="&amp;quot" w:hAnsi="&amp;quot"/>
          <w:color w:val="333333"/>
          <w:bdr w:val="none" w:sz="0" w:space="0" w:color="auto" w:frame="1"/>
        </w:rPr>
        <w:t>Higher (new)</w:t>
      </w:r>
      <w:r>
        <w:rPr>
          <w:rFonts w:ascii="&amp;quot" w:hAnsi="&amp;quot"/>
          <w:color w:val="333333"/>
        </w:rPr>
        <w:t xml:space="preserve"> replacing Higher</w:t>
      </w:r>
    </w:p>
    <w:p w:rsidR="00C37991" w:rsidRDefault="00C37991" w:rsidP="00C37991">
      <w:pPr>
        <w:numPr>
          <w:ilvl w:val="0"/>
          <w:numId w:val="2"/>
        </w:numPr>
        <w:spacing w:after="0" w:line="240" w:lineRule="auto"/>
        <w:ind w:left="300"/>
        <w:rPr>
          <w:rFonts w:ascii="&amp;quot" w:hAnsi="&amp;quot"/>
          <w:color w:val="333333"/>
        </w:rPr>
      </w:pPr>
      <w:r>
        <w:rPr>
          <w:rStyle w:val="Strong"/>
          <w:rFonts w:ascii="&amp;quot" w:hAnsi="&amp;quot"/>
          <w:color w:val="333333"/>
          <w:bdr w:val="none" w:sz="0" w:space="0" w:color="auto" w:frame="1"/>
        </w:rPr>
        <w:t xml:space="preserve">Advanced Higher (new) </w:t>
      </w:r>
      <w:r>
        <w:rPr>
          <w:rFonts w:ascii="&amp;quot" w:hAnsi="&amp;quot"/>
          <w:color w:val="333333"/>
        </w:rPr>
        <w:t>replacing Advanced Higher</w:t>
      </w:r>
    </w:p>
    <w:p w:rsidR="00C37991" w:rsidRDefault="00C37991" w:rsidP="00C37991">
      <w:pPr>
        <w:pStyle w:val="NormalWeb"/>
        <w:spacing w:before="0" w:beforeAutospacing="0" w:after="270" w:afterAutospacing="0"/>
        <w:textAlignment w:val="baseline"/>
        <w:rPr>
          <w:rFonts w:ascii="&amp;quot" w:hAnsi="&amp;quot"/>
          <w:color w:val="333333"/>
        </w:rPr>
      </w:pPr>
      <w:r>
        <w:rPr>
          <w:rFonts w:ascii="&amp;quot" w:hAnsi="&amp;quot"/>
          <w:color w:val="333333"/>
        </w:rPr>
        <w:t>Most children will be around 15 when they take Nationals. They can opt to stay in secondary school for two more years to take exams for Higher qualifications – which they’ll need to apply for university – and Advanced Highers – equivalent to the first year of university and used for applying to enter the second year of university.</w:t>
      </w:r>
    </w:p>
    <w:p w:rsidR="00C37991" w:rsidRPr="00C37991" w:rsidRDefault="00C37991" w:rsidP="00C37991">
      <w:pPr>
        <w:spacing w:after="0" w:line="240" w:lineRule="auto"/>
        <w:textAlignment w:val="baseline"/>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 xml:space="preserve">Since 2017 children in Scotland have completed </w:t>
      </w:r>
      <w:hyperlink r:id="rId11" w:history="1">
        <w:r w:rsidRPr="00C37991">
          <w:rPr>
            <w:rFonts w:ascii="&amp;quot" w:eastAsia="Times New Roman" w:hAnsi="&amp;quot" w:cs="Times New Roman"/>
            <w:b/>
            <w:bCs/>
            <w:color w:val="FA871E"/>
            <w:sz w:val="24"/>
            <w:szCs w:val="24"/>
            <w:bdr w:val="none" w:sz="0" w:space="0" w:color="auto" w:frame="1"/>
            <w:lang w:eastAsia="en-GB"/>
          </w:rPr>
          <w:t>Scottish National Standardised Assessments (SNSAs) in literacy and numeracy in P1, P4, P7 and S3</w:t>
        </w:r>
      </w:hyperlink>
      <w:r w:rsidRPr="00C37991">
        <w:rPr>
          <w:rFonts w:ascii="&amp;quot" w:eastAsia="Times New Roman" w:hAnsi="&amp;quot" w:cs="Times New Roman"/>
          <w:color w:val="333333"/>
          <w:sz w:val="24"/>
          <w:szCs w:val="24"/>
          <w:lang w:eastAsia="en-GB"/>
        </w:rPr>
        <w:t>.</w:t>
      </w:r>
    </w:p>
    <w:p w:rsidR="00C37991" w:rsidRPr="00C37991" w:rsidRDefault="00C37991" w:rsidP="00C37991">
      <w:pPr>
        <w:spacing w:after="270" w:line="240" w:lineRule="auto"/>
        <w:textAlignment w:val="baseline"/>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There are five defined levels within the Scottish educational system. Each is reached based on the teacher’s assessment of a student’s abilities and readiness to progress, but general year guidelines are as follows:</w:t>
      </w:r>
    </w:p>
    <w:p w:rsidR="00C37991" w:rsidRPr="00C37991" w:rsidRDefault="00C37991" w:rsidP="00C37991">
      <w:pPr>
        <w:numPr>
          <w:ilvl w:val="0"/>
          <w:numId w:val="3"/>
        </w:numPr>
        <w:spacing w:after="0" w:line="240" w:lineRule="auto"/>
        <w:ind w:left="300"/>
        <w:rPr>
          <w:rFonts w:ascii="&amp;quot" w:eastAsia="Times New Roman" w:hAnsi="&amp;quot" w:cs="Times New Roman"/>
          <w:color w:val="333333"/>
          <w:lang w:eastAsia="en-GB"/>
        </w:rPr>
      </w:pPr>
      <w:r w:rsidRPr="00C37991">
        <w:rPr>
          <w:rFonts w:ascii="&amp;quot" w:eastAsia="Times New Roman" w:hAnsi="&amp;quot" w:cs="Times New Roman"/>
          <w:color w:val="333333"/>
          <w:lang w:eastAsia="en-GB"/>
        </w:rPr>
        <w:t>Early (pre-school years and P1);</w:t>
      </w:r>
    </w:p>
    <w:p w:rsidR="00C37991" w:rsidRPr="00C37991" w:rsidRDefault="00C37991" w:rsidP="00C37991">
      <w:pPr>
        <w:numPr>
          <w:ilvl w:val="0"/>
          <w:numId w:val="3"/>
        </w:numPr>
        <w:spacing w:after="0" w:line="240" w:lineRule="auto"/>
        <w:ind w:left="300"/>
        <w:rPr>
          <w:rFonts w:ascii="&amp;quot" w:eastAsia="Times New Roman" w:hAnsi="&amp;quot" w:cs="Times New Roman"/>
          <w:color w:val="333333"/>
          <w:lang w:eastAsia="en-GB"/>
        </w:rPr>
      </w:pPr>
      <w:r w:rsidRPr="00C37991">
        <w:rPr>
          <w:rFonts w:ascii="&amp;quot" w:eastAsia="Times New Roman" w:hAnsi="&amp;quot" w:cs="Times New Roman"/>
          <w:color w:val="333333"/>
          <w:lang w:eastAsia="en-GB"/>
        </w:rPr>
        <w:t>First (to the end of P4);</w:t>
      </w:r>
    </w:p>
    <w:p w:rsidR="00C37991" w:rsidRPr="00C37991" w:rsidRDefault="00C37991" w:rsidP="00C37991">
      <w:pPr>
        <w:numPr>
          <w:ilvl w:val="0"/>
          <w:numId w:val="3"/>
        </w:numPr>
        <w:spacing w:after="0" w:line="240" w:lineRule="auto"/>
        <w:ind w:left="300"/>
        <w:rPr>
          <w:rFonts w:ascii="&amp;quot" w:eastAsia="Times New Roman" w:hAnsi="&amp;quot" w:cs="Times New Roman"/>
          <w:color w:val="333333"/>
          <w:lang w:eastAsia="en-GB"/>
        </w:rPr>
      </w:pPr>
      <w:r w:rsidRPr="00C37991">
        <w:rPr>
          <w:rFonts w:ascii="&amp;quot" w:eastAsia="Times New Roman" w:hAnsi="&amp;quot" w:cs="Times New Roman"/>
          <w:color w:val="333333"/>
          <w:lang w:eastAsia="en-GB"/>
        </w:rPr>
        <w:t>Second (to the end of P7);</w:t>
      </w:r>
    </w:p>
    <w:p w:rsidR="00C37991" w:rsidRPr="00C37991" w:rsidRDefault="00C37991" w:rsidP="00C37991">
      <w:pPr>
        <w:numPr>
          <w:ilvl w:val="0"/>
          <w:numId w:val="3"/>
        </w:numPr>
        <w:spacing w:after="0" w:line="240" w:lineRule="auto"/>
        <w:ind w:left="300"/>
        <w:rPr>
          <w:rFonts w:ascii="&amp;quot" w:eastAsia="Times New Roman" w:hAnsi="&amp;quot" w:cs="Times New Roman"/>
          <w:color w:val="333333"/>
          <w:lang w:eastAsia="en-GB"/>
        </w:rPr>
      </w:pPr>
      <w:r w:rsidRPr="00C37991">
        <w:rPr>
          <w:rFonts w:ascii="&amp;quot" w:eastAsia="Times New Roman" w:hAnsi="&amp;quot" w:cs="Times New Roman"/>
          <w:color w:val="333333"/>
          <w:lang w:eastAsia="en-GB"/>
        </w:rPr>
        <w:t>Third and Fourth (S1 to S3);</w:t>
      </w:r>
    </w:p>
    <w:p w:rsidR="00C37991" w:rsidRPr="00C37991" w:rsidRDefault="00C37991" w:rsidP="00C37991">
      <w:pPr>
        <w:numPr>
          <w:ilvl w:val="0"/>
          <w:numId w:val="3"/>
        </w:numPr>
        <w:spacing w:after="0" w:line="240" w:lineRule="auto"/>
        <w:ind w:left="300"/>
        <w:rPr>
          <w:rFonts w:ascii="&amp;quot" w:eastAsia="Times New Roman" w:hAnsi="&amp;quot" w:cs="Times New Roman"/>
          <w:color w:val="333333"/>
          <w:lang w:eastAsia="en-GB"/>
        </w:rPr>
      </w:pPr>
      <w:r w:rsidRPr="00C37991">
        <w:rPr>
          <w:rFonts w:ascii="&amp;quot" w:eastAsia="Times New Roman" w:hAnsi="&amp;quot" w:cs="Times New Roman"/>
          <w:color w:val="333333"/>
          <w:lang w:eastAsia="en-GB"/>
        </w:rPr>
        <w:t>Senior phase (S4 to S6, college, etc.).</w:t>
      </w:r>
    </w:p>
    <w:tbl>
      <w:tblPr>
        <w:tblW w:w="6615" w:type="dxa"/>
        <w:tblCellMar>
          <w:left w:w="0" w:type="dxa"/>
          <w:right w:w="0" w:type="dxa"/>
        </w:tblCellMar>
        <w:tblLook w:val="04A0" w:firstRow="1" w:lastRow="0" w:firstColumn="1" w:lastColumn="0" w:noHBand="0" w:noVBand="1"/>
      </w:tblPr>
      <w:tblGrid>
        <w:gridCol w:w="1011"/>
        <w:gridCol w:w="2192"/>
        <w:gridCol w:w="1478"/>
        <w:gridCol w:w="1934"/>
      </w:tblGrid>
      <w:tr w:rsidR="00C37991" w:rsidRPr="00C37991" w:rsidTr="00C37991">
        <w:tc>
          <w:tcPr>
            <w:tcW w:w="1035" w:type="dxa"/>
            <w:tcBorders>
              <w:top w:val="nil"/>
              <w:left w:val="nil"/>
              <w:bottom w:val="nil"/>
              <w:right w:val="nil"/>
            </w:tcBorders>
            <w:shd w:val="clear" w:color="auto" w:fill="FFFF99"/>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b/>
                <w:bCs/>
                <w:color w:val="333333"/>
                <w:sz w:val="24"/>
                <w:szCs w:val="24"/>
                <w:bdr w:val="none" w:sz="0" w:space="0" w:color="auto" w:frame="1"/>
                <w:lang w:eastAsia="en-GB"/>
              </w:rPr>
              <w:t>Age during school year</w:t>
            </w:r>
          </w:p>
        </w:tc>
        <w:tc>
          <w:tcPr>
            <w:tcW w:w="2430" w:type="dxa"/>
            <w:tcBorders>
              <w:top w:val="nil"/>
              <w:left w:val="nil"/>
              <w:bottom w:val="nil"/>
              <w:right w:val="nil"/>
            </w:tcBorders>
            <w:shd w:val="clear" w:color="auto" w:fill="FFFF99"/>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hyperlink r:id="rId12" w:history="1">
              <w:r w:rsidRPr="00C37991">
                <w:rPr>
                  <w:rFonts w:ascii="&amp;quot" w:eastAsia="Times New Roman" w:hAnsi="&amp;quot" w:cs="Times New Roman"/>
                  <w:b/>
                  <w:bCs/>
                  <w:color w:val="FA871E"/>
                  <w:sz w:val="24"/>
                  <w:szCs w:val="24"/>
                  <w:u w:val="single"/>
                  <w:bdr w:val="none" w:sz="0" w:space="0" w:color="auto" w:frame="1"/>
                  <w:lang w:eastAsia="en-GB"/>
                </w:rPr>
                <w:t>England</w:t>
              </w:r>
            </w:hyperlink>
            <w:r w:rsidRPr="00C37991">
              <w:rPr>
                <w:rFonts w:ascii="&amp;quot" w:eastAsia="Times New Roman" w:hAnsi="&amp;quot" w:cs="Times New Roman"/>
                <w:b/>
                <w:bCs/>
                <w:color w:val="333333"/>
                <w:sz w:val="24"/>
                <w:szCs w:val="24"/>
                <w:bdr w:val="none" w:sz="0" w:space="0" w:color="auto" w:frame="1"/>
                <w:lang w:eastAsia="en-GB"/>
              </w:rPr>
              <w:t xml:space="preserve"> and </w:t>
            </w:r>
            <w:hyperlink r:id="rId13" w:history="1">
              <w:r w:rsidRPr="00C37991">
                <w:rPr>
                  <w:rFonts w:ascii="&amp;quot" w:eastAsia="Times New Roman" w:hAnsi="&amp;quot" w:cs="Times New Roman"/>
                  <w:b/>
                  <w:bCs/>
                  <w:color w:val="FA871E"/>
                  <w:sz w:val="24"/>
                  <w:szCs w:val="24"/>
                  <w:u w:val="single"/>
                  <w:bdr w:val="none" w:sz="0" w:space="0" w:color="auto" w:frame="1"/>
                  <w:lang w:eastAsia="en-GB"/>
                </w:rPr>
                <w:t>Wales</w:t>
              </w:r>
            </w:hyperlink>
            <w:r w:rsidRPr="00C37991">
              <w:rPr>
                <w:rFonts w:ascii="&amp;quot" w:eastAsia="Times New Roman" w:hAnsi="&amp;quot" w:cs="Times New Roman"/>
                <w:b/>
                <w:bCs/>
                <w:color w:val="333333"/>
                <w:sz w:val="24"/>
                <w:szCs w:val="24"/>
                <w:bdr w:val="none" w:sz="0" w:space="0" w:color="auto" w:frame="1"/>
                <w:lang w:eastAsia="en-GB"/>
              </w:rPr>
              <w:t>:</w:t>
            </w:r>
            <w:r w:rsidRPr="00C37991">
              <w:rPr>
                <w:rFonts w:ascii="&amp;quot" w:eastAsia="Times New Roman" w:hAnsi="&amp;quot" w:cs="Times New Roman"/>
                <w:b/>
                <w:bCs/>
                <w:color w:val="333333"/>
                <w:sz w:val="24"/>
                <w:szCs w:val="24"/>
                <w:bdr w:val="none" w:sz="0" w:space="0" w:color="auto" w:frame="1"/>
                <w:lang w:eastAsia="en-GB"/>
              </w:rPr>
              <w:br/>
            </w:r>
            <w:r w:rsidRPr="00C37991">
              <w:rPr>
                <w:rFonts w:ascii="&amp;quot" w:eastAsia="Times New Roman" w:hAnsi="&amp;quot" w:cs="Times New Roman"/>
                <w:b/>
                <w:bCs/>
                <w:i/>
                <w:iCs/>
                <w:color w:val="333333"/>
                <w:sz w:val="24"/>
                <w:szCs w:val="24"/>
                <w:bdr w:val="none" w:sz="0" w:space="0" w:color="auto" w:frame="1"/>
                <w:lang w:eastAsia="en-GB"/>
              </w:rPr>
              <w:t>National Curriculum (plus Foundation Phase in Wales)</w:t>
            </w:r>
          </w:p>
        </w:tc>
        <w:tc>
          <w:tcPr>
            <w:tcW w:w="1485" w:type="dxa"/>
            <w:tcBorders>
              <w:top w:val="nil"/>
              <w:left w:val="nil"/>
              <w:bottom w:val="nil"/>
              <w:right w:val="nil"/>
            </w:tcBorders>
            <w:shd w:val="clear" w:color="auto" w:fill="FFFF99"/>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hyperlink r:id="rId14" w:history="1">
              <w:r w:rsidRPr="00C37991">
                <w:rPr>
                  <w:rFonts w:ascii="&amp;quot" w:eastAsia="Times New Roman" w:hAnsi="&amp;quot" w:cs="Times New Roman"/>
                  <w:b/>
                  <w:bCs/>
                  <w:color w:val="FA871E"/>
                  <w:sz w:val="24"/>
                  <w:szCs w:val="24"/>
                  <w:u w:val="single"/>
                  <w:bdr w:val="none" w:sz="0" w:space="0" w:color="auto" w:frame="1"/>
                  <w:lang w:eastAsia="en-GB"/>
                </w:rPr>
                <w:t>Northern Ireland</w:t>
              </w:r>
            </w:hyperlink>
            <w:r w:rsidRPr="00C37991">
              <w:rPr>
                <w:rFonts w:ascii="&amp;quot" w:eastAsia="Times New Roman" w:hAnsi="&amp;quot" w:cs="Times New Roman"/>
                <w:b/>
                <w:bCs/>
                <w:color w:val="333333"/>
                <w:sz w:val="24"/>
                <w:szCs w:val="24"/>
                <w:bdr w:val="none" w:sz="0" w:space="0" w:color="auto" w:frame="1"/>
                <w:lang w:eastAsia="en-GB"/>
              </w:rPr>
              <w:t>:</w:t>
            </w:r>
            <w:r w:rsidRPr="00C37991">
              <w:rPr>
                <w:rFonts w:ascii="&amp;quot" w:eastAsia="Times New Roman" w:hAnsi="&amp;quot" w:cs="Times New Roman"/>
                <w:b/>
                <w:bCs/>
                <w:color w:val="333333"/>
                <w:sz w:val="24"/>
                <w:szCs w:val="24"/>
                <w:bdr w:val="none" w:sz="0" w:space="0" w:color="auto" w:frame="1"/>
                <w:lang w:eastAsia="en-GB"/>
              </w:rPr>
              <w:br/>
            </w:r>
            <w:r w:rsidRPr="00C37991">
              <w:rPr>
                <w:rFonts w:ascii="&amp;quot" w:eastAsia="Times New Roman" w:hAnsi="&amp;quot" w:cs="Times New Roman"/>
                <w:b/>
                <w:bCs/>
                <w:i/>
                <w:iCs/>
                <w:color w:val="333333"/>
                <w:sz w:val="24"/>
                <w:szCs w:val="24"/>
                <w:bdr w:val="none" w:sz="0" w:space="0" w:color="auto" w:frame="1"/>
                <w:lang w:eastAsia="en-GB"/>
              </w:rPr>
              <w:t>Northern Ireland Curriculum</w:t>
            </w:r>
          </w:p>
        </w:tc>
        <w:tc>
          <w:tcPr>
            <w:tcW w:w="1290" w:type="dxa"/>
            <w:tcBorders>
              <w:top w:val="nil"/>
              <w:left w:val="nil"/>
              <w:bottom w:val="nil"/>
              <w:right w:val="nil"/>
            </w:tcBorders>
            <w:shd w:val="clear" w:color="auto" w:fill="FFFF99"/>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hyperlink r:id="rId15" w:history="1">
              <w:r w:rsidRPr="00C37991">
                <w:rPr>
                  <w:rFonts w:ascii="&amp;quot" w:eastAsia="Times New Roman" w:hAnsi="&amp;quot" w:cs="Times New Roman"/>
                  <w:b/>
                  <w:bCs/>
                  <w:color w:val="FA871E"/>
                  <w:sz w:val="24"/>
                  <w:szCs w:val="24"/>
                  <w:u w:val="single"/>
                  <w:bdr w:val="none" w:sz="0" w:space="0" w:color="auto" w:frame="1"/>
                  <w:lang w:eastAsia="en-GB"/>
                </w:rPr>
                <w:t>Scotland</w:t>
              </w:r>
            </w:hyperlink>
            <w:r w:rsidRPr="00C37991">
              <w:rPr>
                <w:rFonts w:ascii="&amp;quot" w:eastAsia="Times New Roman" w:hAnsi="&amp;quot" w:cs="Times New Roman"/>
                <w:b/>
                <w:bCs/>
                <w:color w:val="333333"/>
                <w:sz w:val="24"/>
                <w:szCs w:val="24"/>
                <w:bdr w:val="none" w:sz="0" w:space="0" w:color="auto" w:frame="1"/>
                <w:lang w:eastAsia="en-GB"/>
              </w:rPr>
              <w:t>:</w:t>
            </w:r>
            <w:r w:rsidRPr="00C37991">
              <w:rPr>
                <w:rFonts w:ascii="&amp;quot" w:eastAsia="Times New Roman" w:hAnsi="&amp;quot" w:cs="Times New Roman"/>
                <w:b/>
                <w:bCs/>
                <w:color w:val="333333"/>
                <w:sz w:val="24"/>
                <w:szCs w:val="24"/>
                <w:bdr w:val="none" w:sz="0" w:space="0" w:color="auto" w:frame="1"/>
                <w:lang w:eastAsia="en-GB"/>
              </w:rPr>
              <w:br/>
            </w:r>
            <w:r w:rsidRPr="00C37991">
              <w:rPr>
                <w:rFonts w:ascii="&amp;quot" w:eastAsia="Times New Roman" w:hAnsi="&amp;quot" w:cs="Times New Roman"/>
                <w:b/>
                <w:bCs/>
                <w:i/>
                <w:iCs/>
                <w:color w:val="333333"/>
                <w:sz w:val="24"/>
                <w:szCs w:val="24"/>
                <w:bdr w:val="none" w:sz="0" w:space="0" w:color="auto" w:frame="1"/>
                <w:lang w:eastAsia="en-GB"/>
              </w:rPr>
              <w:t>Curriculum for Excellence</w:t>
            </w:r>
          </w:p>
        </w:tc>
      </w:tr>
      <w:tr w:rsidR="00C37991" w:rsidRPr="00C37991" w:rsidTr="00C37991">
        <w:tc>
          <w:tcPr>
            <w:tcW w:w="103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4-5</w:t>
            </w:r>
          </w:p>
        </w:tc>
        <w:tc>
          <w:tcPr>
            <w:tcW w:w="243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Reception</w:t>
            </w:r>
          </w:p>
        </w:tc>
        <w:tc>
          <w:tcPr>
            <w:tcW w:w="148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1</w:t>
            </w:r>
          </w:p>
        </w:tc>
        <w:tc>
          <w:tcPr>
            <w:tcW w:w="129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P1 (Early level)</w:t>
            </w:r>
          </w:p>
        </w:tc>
      </w:tr>
      <w:tr w:rsidR="00C37991" w:rsidRPr="00C37991" w:rsidTr="00C37991">
        <w:tc>
          <w:tcPr>
            <w:tcW w:w="103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5-6</w:t>
            </w:r>
          </w:p>
        </w:tc>
        <w:tc>
          <w:tcPr>
            <w:tcW w:w="243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1</w:t>
            </w:r>
          </w:p>
        </w:tc>
        <w:tc>
          <w:tcPr>
            <w:tcW w:w="148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2</w:t>
            </w:r>
          </w:p>
        </w:tc>
        <w:tc>
          <w:tcPr>
            <w:tcW w:w="129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P2 (First level)</w:t>
            </w:r>
          </w:p>
        </w:tc>
      </w:tr>
      <w:tr w:rsidR="00C37991" w:rsidRPr="00C37991" w:rsidTr="00C37991">
        <w:tc>
          <w:tcPr>
            <w:tcW w:w="103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6-7</w:t>
            </w:r>
          </w:p>
        </w:tc>
        <w:tc>
          <w:tcPr>
            <w:tcW w:w="243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2</w:t>
            </w:r>
          </w:p>
        </w:tc>
        <w:tc>
          <w:tcPr>
            <w:tcW w:w="148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3</w:t>
            </w:r>
          </w:p>
        </w:tc>
        <w:tc>
          <w:tcPr>
            <w:tcW w:w="129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P3 (First level)</w:t>
            </w:r>
          </w:p>
        </w:tc>
      </w:tr>
      <w:tr w:rsidR="00C37991" w:rsidRPr="00C37991" w:rsidTr="00C37991">
        <w:tc>
          <w:tcPr>
            <w:tcW w:w="103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7-8</w:t>
            </w:r>
          </w:p>
        </w:tc>
        <w:tc>
          <w:tcPr>
            <w:tcW w:w="243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3</w:t>
            </w:r>
          </w:p>
        </w:tc>
        <w:tc>
          <w:tcPr>
            <w:tcW w:w="148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4</w:t>
            </w:r>
          </w:p>
        </w:tc>
        <w:tc>
          <w:tcPr>
            <w:tcW w:w="129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P4 (First level)</w:t>
            </w:r>
          </w:p>
        </w:tc>
      </w:tr>
      <w:tr w:rsidR="00C37991" w:rsidRPr="00C37991" w:rsidTr="00C37991">
        <w:tc>
          <w:tcPr>
            <w:tcW w:w="103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8-9</w:t>
            </w:r>
          </w:p>
        </w:tc>
        <w:tc>
          <w:tcPr>
            <w:tcW w:w="243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4</w:t>
            </w:r>
          </w:p>
        </w:tc>
        <w:tc>
          <w:tcPr>
            <w:tcW w:w="148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5</w:t>
            </w:r>
          </w:p>
        </w:tc>
        <w:tc>
          <w:tcPr>
            <w:tcW w:w="129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P5 (Second level)</w:t>
            </w:r>
          </w:p>
        </w:tc>
      </w:tr>
      <w:tr w:rsidR="00C37991" w:rsidRPr="00C37991" w:rsidTr="00C37991">
        <w:tc>
          <w:tcPr>
            <w:tcW w:w="103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lastRenderedPageBreak/>
              <w:t>9-10</w:t>
            </w:r>
          </w:p>
        </w:tc>
        <w:tc>
          <w:tcPr>
            <w:tcW w:w="243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5</w:t>
            </w:r>
          </w:p>
        </w:tc>
        <w:tc>
          <w:tcPr>
            <w:tcW w:w="148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6</w:t>
            </w:r>
          </w:p>
        </w:tc>
        <w:tc>
          <w:tcPr>
            <w:tcW w:w="129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P6 (Second level)</w:t>
            </w:r>
          </w:p>
        </w:tc>
      </w:tr>
      <w:tr w:rsidR="00C37991" w:rsidRPr="00C37991" w:rsidTr="00C37991">
        <w:tc>
          <w:tcPr>
            <w:tcW w:w="103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10-11</w:t>
            </w:r>
          </w:p>
        </w:tc>
        <w:tc>
          <w:tcPr>
            <w:tcW w:w="243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6</w:t>
            </w:r>
          </w:p>
        </w:tc>
        <w:tc>
          <w:tcPr>
            <w:tcW w:w="148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7</w:t>
            </w:r>
          </w:p>
        </w:tc>
        <w:tc>
          <w:tcPr>
            <w:tcW w:w="129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P7 (Second level)</w:t>
            </w:r>
          </w:p>
        </w:tc>
      </w:tr>
      <w:tr w:rsidR="00C37991" w:rsidRPr="00C37991" w:rsidTr="00C37991">
        <w:tc>
          <w:tcPr>
            <w:tcW w:w="103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11-12</w:t>
            </w:r>
          </w:p>
        </w:tc>
        <w:tc>
          <w:tcPr>
            <w:tcW w:w="243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7</w:t>
            </w:r>
          </w:p>
        </w:tc>
        <w:tc>
          <w:tcPr>
            <w:tcW w:w="148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8</w:t>
            </w:r>
          </w:p>
        </w:tc>
        <w:tc>
          <w:tcPr>
            <w:tcW w:w="129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S1 (Third/Fourth level)</w:t>
            </w:r>
          </w:p>
        </w:tc>
      </w:tr>
      <w:tr w:rsidR="00C37991" w:rsidRPr="00C37991" w:rsidTr="00C37991">
        <w:tc>
          <w:tcPr>
            <w:tcW w:w="103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12-13</w:t>
            </w:r>
          </w:p>
        </w:tc>
        <w:tc>
          <w:tcPr>
            <w:tcW w:w="243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8</w:t>
            </w:r>
          </w:p>
        </w:tc>
        <w:tc>
          <w:tcPr>
            <w:tcW w:w="148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9</w:t>
            </w:r>
          </w:p>
        </w:tc>
        <w:tc>
          <w:tcPr>
            <w:tcW w:w="129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S2 (Third/Fourth level)</w:t>
            </w:r>
          </w:p>
        </w:tc>
      </w:tr>
      <w:tr w:rsidR="00C37991" w:rsidRPr="00C37991" w:rsidTr="00C37991">
        <w:tc>
          <w:tcPr>
            <w:tcW w:w="103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13-14</w:t>
            </w:r>
          </w:p>
        </w:tc>
        <w:tc>
          <w:tcPr>
            <w:tcW w:w="243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9</w:t>
            </w:r>
          </w:p>
        </w:tc>
        <w:tc>
          <w:tcPr>
            <w:tcW w:w="148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10</w:t>
            </w:r>
          </w:p>
        </w:tc>
        <w:tc>
          <w:tcPr>
            <w:tcW w:w="129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S3 (Third/Fourth level)</w:t>
            </w:r>
          </w:p>
        </w:tc>
      </w:tr>
      <w:tr w:rsidR="00C37991" w:rsidRPr="00C37991" w:rsidTr="00C37991">
        <w:tc>
          <w:tcPr>
            <w:tcW w:w="103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14-15</w:t>
            </w:r>
          </w:p>
        </w:tc>
        <w:tc>
          <w:tcPr>
            <w:tcW w:w="243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10</w:t>
            </w:r>
          </w:p>
        </w:tc>
        <w:tc>
          <w:tcPr>
            <w:tcW w:w="148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11</w:t>
            </w:r>
          </w:p>
        </w:tc>
        <w:tc>
          <w:tcPr>
            <w:tcW w:w="129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S4 (Senior phase)</w:t>
            </w:r>
          </w:p>
        </w:tc>
      </w:tr>
      <w:tr w:rsidR="00C37991" w:rsidRPr="00C37991" w:rsidTr="00C37991">
        <w:tc>
          <w:tcPr>
            <w:tcW w:w="103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15-16</w:t>
            </w:r>
          </w:p>
        </w:tc>
        <w:tc>
          <w:tcPr>
            <w:tcW w:w="243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11</w:t>
            </w:r>
          </w:p>
        </w:tc>
        <w:tc>
          <w:tcPr>
            <w:tcW w:w="148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12</w:t>
            </w:r>
          </w:p>
        </w:tc>
        <w:tc>
          <w:tcPr>
            <w:tcW w:w="129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S5 (Senior phase)</w:t>
            </w:r>
          </w:p>
        </w:tc>
      </w:tr>
      <w:tr w:rsidR="00C37991" w:rsidRPr="00C37991" w:rsidTr="00C37991">
        <w:tc>
          <w:tcPr>
            <w:tcW w:w="6465" w:type="dxa"/>
            <w:gridSpan w:val="4"/>
            <w:tcBorders>
              <w:top w:val="nil"/>
              <w:left w:val="nil"/>
              <w:bottom w:val="nil"/>
              <w:right w:val="nil"/>
            </w:tcBorders>
            <w:shd w:val="clear" w:color="auto" w:fill="FFFF99"/>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b/>
                <w:bCs/>
                <w:color w:val="333333"/>
                <w:sz w:val="24"/>
                <w:szCs w:val="24"/>
                <w:bdr w:val="none" w:sz="0" w:space="0" w:color="auto" w:frame="1"/>
                <w:lang w:eastAsia="en-GB"/>
              </w:rPr>
              <w:t>                         A-Levels and SCE Highers – not compulsory</w:t>
            </w:r>
          </w:p>
        </w:tc>
      </w:tr>
      <w:tr w:rsidR="00C37991" w:rsidRPr="00C37991" w:rsidTr="00C37991">
        <w:tc>
          <w:tcPr>
            <w:tcW w:w="103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16-17</w:t>
            </w:r>
          </w:p>
        </w:tc>
        <w:tc>
          <w:tcPr>
            <w:tcW w:w="243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12</w:t>
            </w:r>
          </w:p>
        </w:tc>
        <w:tc>
          <w:tcPr>
            <w:tcW w:w="148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13</w:t>
            </w:r>
          </w:p>
        </w:tc>
        <w:tc>
          <w:tcPr>
            <w:tcW w:w="129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S6 (Senior phase)</w:t>
            </w:r>
          </w:p>
        </w:tc>
      </w:tr>
      <w:tr w:rsidR="00C37991" w:rsidRPr="00C37991" w:rsidTr="00C37991">
        <w:tc>
          <w:tcPr>
            <w:tcW w:w="103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17-18</w:t>
            </w:r>
          </w:p>
        </w:tc>
        <w:tc>
          <w:tcPr>
            <w:tcW w:w="243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13</w:t>
            </w:r>
          </w:p>
        </w:tc>
        <w:tc>
          <w:tcPr>
            <w:tcW w:w="1485"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Year 14</w:t>
            </w:r>
          </w:p>
        </w:tc>
        <w:tc>
          <w:tcPr>
            <w:tcW w:w="1290" w:type="dxa"/>
            <w:tcBorders>
              <w:top w:val="nil"/>
              <w:left w:val="nil"/>
              <w:bottom w:val="nil"/>
              <w:right w:val="nil"/>
            </w:tcBorders>
            <w:shd w:val="clear" w:color="auto" w:fill="auto"/>
            <w:tcMar>
              <w:top w:w="150" w:type="dxa"/>
              <w:left w:w="150" w:type="dxa"/>
              <w:bottom w:w="150" w:type="dxa"/>
              <w:right w:w="150" w:type="dxa"/>
            </w:tcMar>
            <w:hideMark/>
          </w:tcPr>
          <w:p w:rsidR="00C37991" w:rsidRPr="00C37991" w:rsidRDefault="00C37991" w:rsidP="00C37991">
            <w:pPr>
              <w:spacing w:after="0" w:line="240" w:lineRule="auto"/>
              <w:rPr>
                <w:rFonts w:ascii="&amp;quot" w:eastAsia="Times New Roman" w:hAnsi="&amp;quot" w:cs="Times New Roman"/>
                <w:color w:val="333333"/>
                <w:sz w:val="24"/>
                <w:szCs w:val="24"/>
                <w:lang w:eastAsia="en-GB"/>
              </w:rPr>
            </w:pPr>
            <w:r w:rsidRPr="00C37991">
              <w:rPr>
                <w:rFonts w:ascii="&amp;quot" w:eastAsia="Times New Roman" w:hAnsi="&amp;quot" w:cs="Times New Roman"/>
                <w:color w:val="333333"/>
                <w:sz w:val="24"/>
                <w:szCs w:val="24"/>
                <w:lang w:eastAsia="en-GB"/>
              </w:rPr>
              <w:t> </w:t>
            </w:r>
          </w:p>
        </w:tc>
      </w:tr>
    </w:tbl>
    <w:p w:rsidR="00C37991" w:rsidRPr="00C37991" w:rsidRDefault="00C37991" w:rsidP="00C37991">
      <w:pPr>
        <w:spacing w:after="270" w:line="240" w:lineRule="auto"/>
        <w:textAlignment w:val="baseline"/>
        <w:rPr>
          <w:rFonts w:ascii="Times New Roman" w:eastAsia="Times New Roman" w:hAnsi="Times New Roman" w:cs="Times New Roman"/>
          <w:sz w:val="24"/>
          <w:szCs w:val="24"/>
          <w:lang w:eastAsia="en-GB"/>
        </w:rPr>
      </w:pPr>
    </w:p>
    <w:p w:rsidR="007D1FEA" w:rsidRDefault="007D1FEA"/>
    <w:sectPr w:rsidR="007D1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E43"/>
    <w:multiLevelType w:val="multilevel"/>
    <w:tmpl w:val="BC52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F5C3D"/>
    <w:multiLevelType w:val="multilevel"/>
    <w:tmpl w:val="9A12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74C46"/>
    <w:multiLevelType w:val="multilevel"/>
    <w:tmpl w:val="AFA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EE"/>
    <w:rsid w:val="000B74EE"/>
    <w:rsid w:val="007D1FEA"/>
    <w:rsid w:val="00C37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0A65"/>
  <w15:chartTrackingRefBased/>
  <w15:docId w15:val="{9D28C902-A23F-4F58-9BC1-780D75C6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7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379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99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C37991"/>
    <w:rPr>
      <w:color w:val="0000FF"/>
      <w:u w:val="single"/>
    </w:rPr>
  </w:style>
  <w:style w:type="paragraph" w:styleId="NormalWeb">
    <w:name w:val="Normal (Web)"/>
    <w:basedOn w:val="Normal"/>
    <w:uiPriority w:val="99"/>
    <w:semiHidden/>
    <w:unhideWhenUsed/>
    <w:rsid w:val="00C379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37991"/>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37991"/>
    <w:rPr>
      <w:b/>
      <w:bCs/>
    </w:rPr>
  </w:style>
  <w:style w:type="character" w:styleId="Emphasis">
    <w:name w:val="Emphasis"/>
    <w:basedOn w:val="DefaultParagraphFont"/>
    <w:uiPriority w:val="20"/>
    <w:qFormat/>
    <w:rsid w:val="00C379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59962">
      <w:bodyDiv w:val="1"/>
      <w:marLeft w:val="0"/>
      <w:marRight w:val="0"/>
      <w:marTop w:val="0"/>
      <w:marBottom w:val="0"/>
      <w:divBdr>
        <w:top w:val="none" w:sz="0" w:space="0" w:color="auto"/>
        <w:left w:val="none" w:sz="0" w:space="0" w:color="auto"/>
        <w:bottom w:val="none" w:sz="0" w:space="0" w:color="auto"/>
        <w:right w:val="none" w:sz="0" w:space="0" w:color="auto"/>
      </w:divBdr>
    </w:div>
    <w:div w:id="411926068">
      <w:bodyDiv w:val="1"/>
      <w:marLeft w:val="0"/>
      <w:marRight w:val="0"/>
      <w:marTop w:val="0"/>
      <w:marBottom w:val="0"/>
      <w:divBdr>
        <w:top w:val="none" w:sz="0" w:space="0" w:color="auto"/>
        <w:left w:val="none" w:sz="0" w:space="0" w:color="auto"/>
        <w:bottom w:val="none" w:sz="0" w:space="0" w:color="auto"/>
        <w:right w:val="none" w:sz="0" w:space="0" w:color="auto"/>
      </w:divBdr>
    </w:div>
    <w:div w:id="747313111">
      <w:bodyDiv w:val="1"/>
      <w:marLeft w:val="0"/>
      <w:marRight w:val="0"/>
      <w:marTop w:val="0"/>
      <w:marBottom w:val="0"/>
      <w:divBdr>
        <w:top w:val="none" w:sz="0" w:space="0" w:color="auto"/>
        <w:left w:val="none" w:sz="0" w:space="0" w:color="auto"/>
        <w:bottom w:val="none" w:sz="0" w:space="0" w:color="auto"/>
        <w:right w:val="none" w:sz="0" w:space="0" w:color="auto"/>
      </w:divBdr>
      <w:divsChild>
        <w:div w:id="992221931">
          <w:marLeft w:val="0"/>
          <w:marRight w:val="0"/>
          <w:marTop w:val="0"/>
          <w:marBottom w:val="0"/>
          <w:divBdr>
            <w:top w:val="none" w:sz="0" w:space="0" w:color="auto"/>
            <w:left w:val="none" w:sz="0" w:space="0" w:color="auto"/>
            <w:bottom w:val="none" w:sz="0" w:space="0" w:color="auto"/>
            <w:right w:val="none" w:sz="0" w:space="0" w:color="auto"/>
          </w:divBdr>
          <w:divsChild>
            <w:div w:id="885946332">
              <w:marLeft w:val="300"/>
              <w:marRight w:val="0"/>
              <w:marTop w:val="0"/>
              <w:marBottom w:val="300"/>
              <w:divBdr>
                <w:top w:val="none" w:sz="0" w:space="0" w:color="auto"/>
                <w:left w:val="none" w:sz="0" w:space="0" w:color="auto"/>
                <w:bottom w:val="none" w:sz="0" w:space="0" w:color="auto"/>
                <w:right w:val="none" w:sz="0" w:space="0" w:color="auto"/>
              </w:divBdr>
              <w:divsChild>
                <w:div w:id="1949774292">
                  <w:marLeft w:val="0"/>
                  <w:marRight w:val="0"/>
                  <w:marTop w:val="0"/>
                  <w:marBottom w:val="0"/>
                  <w:divBdr>
                    <w:top w:val="none" w:sz="0" w:space="0" w:color="auto"/>
                    <w:left w:val="none" w:sz="0" w:space="0" w:color="auto"/>
                    <w:bottom w:val="none" w:sz="0" w:space="0" w:color="auto"/>
                    <w:right w:val="none" w:sz="0" w:space="0" w:color="auto"/>
                  </w:divBdr>
                  <w:divsChild>
                    <w:div w:id="13628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722">
              <w:marLeft w:val="0"/>
              <w:marRight w:val="0"/>
              <w:marTop w:val="0"/>
              <w:marBottom w:val="300"/>
              <w:divBdr>
                <w:top w:val="none" w:sz="0" w:space="0" w:color="auto"/>
                <w:left w:val="none" w:sz="0" w:space="0" w:color="auto"/>
                <w:bottom w:val="none" w:sz="0" w:space="0" w:color="auto"/>
                <w:right w:val="none" w:sz="0" w:space="0" w:color="auto"/>
              </w:divBdr>
              <w:divsChild>
                <w:div w:id="1263416163">
                  <w:marLeft w:val="0"/>
                  <w:marRight w:val="0"/>
                  <w:marTop w:val="0"/>
                  <w:marBottom w:val="0"/>
                  <w:divBdr>
                    <w:top w:val="none" w:sz="0" w:space="0" w:color="auto"/>
                    <w:left w:val="none" w:sz="0" w:space="0" w:color="auto"/>
                    <w:bottom w:val="none" w:sz="0" w:space="0" w:color="auto"/>
                    <w:right w:val="none" w:sz="0" w:space="0" w:color="auto"/>
                  </w:divBdr>
                  <w:divsChild>
                    <w:div w:id="17892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0508">
              <w:marLeft w:val="0"/>
              <w:marRight w:val="0"/>
              <w:marTop w:val="0"/>
              <w:marBottom w:val="150"/>
              <w:divBdr>
                <w:top w:val="single" w:sz="6" w:space="5" w:color="CCCCCC"/>
                <w:left w:val="single" w:sz="6" w:space="9" w:color="CCCCCC"/>
                <w:bottom w:val="single" w:sz="6" w:space="5" w:color="CCCCCC"/>
                <w:right w:val="single" w:sz="6" w:space="4" w:color="CCCCCC"/>
              </w:divBdr>
            </w:div>
            <w:div w:id="746079625">
              <w:marLeft w:val="0"/>
              <w:marRight w:val="0"/>
              <w:marTop w:val="0"/>
              <w:marBottom w:val="0"/>
              <w:divBdr>
                <w:top w:val="none" w:sz="0" w:space="0" w:color="auto"/>
                <w:left w:val="none" w:sz="0" w:space="0" w:color="auto"/>
                <w:bottom w:val="none" w:sz="0" w:space="0" w:color="auto"/>
                <w:right w:val="none" w:sz="0" w:space="0" w:color="auto"/>
              </w:divBdr>
              <w:divsChild>
                <w:div w:id="504629917">
                  <w:marLeft w:val="0"/>
                  <w:marRight w:val="0"/>
                  <w:marTop w:val="0"/>
                  <w:marBottom w:val="0"/>
                  <w:divBdr>
                    <w:top w:val="none" w:sz="0" w:space="0" w:color="auto"/>
                    <w:left w:val="none" w:sz="0" w:space="0" w:color="auto"/>
                    <w:bottom w:val="none" w:sz="0" w:space="0" w:color="auto"/>
                    <w:right w:val="none" w:sz="0" w:space="0" w:color="auto"/>
                  </w:divBdr>
                  <w:divsChild>
                    <w:div w:id="14838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run.com/overview-welsh-education-system" TargetMode="External"/><Relationship Id="rId13" Type="http://schemas.openxmlformats.org/officeDocument/2006/relationships/hyperlink" Target="https://www.theschoolrun.com/overview-welsh-education-system" TargetMode="External"/><Relationship Id="rId3" Type="http://schemas.openxmlformats.org/officeDocument/2006/relationships/settings" Target="settings.xml"/><Relationship Id="rId7" Type="http://schemas.openxmlformats.org/officeDocument/2006/relationships/hyperlink" Target="https://www.theschoolrun.com/overview-english-education-system" TargetMode="External"/><Relationship Id="rId12" Type="http://schemas.openxmlformats.org/officeDocument/2006/relationships/hyperlink" Target="https://www.theschoolrun.com/overview-english-education-syste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heschoolrun.com/primary-school-assessment-in-scotland-explained" TargetMode="External"/><Relationship Id="rId5" Type="http://schemas.openxmlformats.org/officeDocument/2006/relationships/hyperlink" Target="https://www.theschoolrun.com/overview-scottish-education-system" TargetMode="External"/><Relationship Id="rId15" Type="http://schemas.openxmlformats.org/officeDocument/2006/relationships/hyperlink" Target="https://www.theschoolrun.com/overview-scottish-education-system" TargetMode="External"/><Relationship Id="rId10" Type="http://schemas.openxmlformats.org/officeDocument/2006/relationships/hyperlink" Target="http://www.educationscotland.gov.uk/parentzone/learninginscotland/about.asp" TargetMode="External"/><Relationship Id="rId4" Type="http://schemas.openxmlformats.org/officeDocument/2006/relationships/webSettings" Target="webSettings.xml"/><Relationship Id="rId9" Type="http://schemas.openxmlformats.org/officeDocument/2006/relationships/hyperlink" Target="https://www.theschoolrun.com/northern-irish-educational-system-overview" TargetMode="External"/><Relationship Id="rId14" Type="http://schemas.openxmlformats.org/officeDocument/2006/relationships/hyperlink" Target="https://www.theschoolrun.com/northern-irish-educational-system-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4141</Characters>
  <Application>Microsoft Office Word</Application>
  <DocSecurity>0</DocSecurity>
  <Lines>34</Lines>
  <Paragraphs>9</Paragraphs>
  <ScaleCrop>false</ScaleCrop>
  <Company>East Ayrshire Council</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Catrina</dc:creator>
  <cp:keywords/>
  <dc:description/>
  <cp:lastModifiedBy>O'Neil, Catrina</cp:lastModifiedBy>
  <cp:revision>2</cp:revision>
  <dcterms:created xsi:type="dcterms:W3CDTF">2020-03-23T12:24:00Z</dcterms:created>
  <dcterms:modified xsi:type="dcterms:W3CDTF">2020-03-23T12:27:00Z</dcterms:modified>
</cp:coreProperties>
</file>