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FE" w:rsidRPr="00B65278" w:rsidRDefault="000951FE" w:rsidP="000951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Assessment in Numeracy and Maths</w:t>
      </w:r>
    </w:p>
    <w:p w:rsidR="000951FE" w:rsidRPr="00B65278" w:rsidRDefault="000951FE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Developing an assessmen</w:t>
      </w:r>
      <w:r w:rsidR="003C708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 model 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for numeracy and maths</w:t>
      </w:r>
      <w:r w:rsidR="003C708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provides a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3C708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collective 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understanding </w:t>
      </w:r>
      <w:r w:rsidR="003C708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for practitioners 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of what constitutes assessment in numeracy and maths</w:t>
      </w:r>
      <w:r w:rsidR="003C708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within the context of an establishment.</w:t>
      </w:r>
    </w:p>
    <w:p w:rsidR="00426E33" w:rsidRPr="00B65278" w:rsidRDefault="00426E33" w:rsidP="000951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When planning, learning, teaching and assessment:</w:t>
      </w:r>
    </w:p>
    <w:p w:rsidR="000951FE" w:rsidRPr="00B65278" w:rsidRDefault="000951FE" w:rsidP="00426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Assessment should be considered as an integral part of the planning process</w:t>
      </w:r>
    </w:p>
    <w:p w:rsidR="00426E33" w:rsidRPr="00B65278" w:rsidRDefault="00426E33" w:rsidP="00426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Assessment should be drawn from both ongoing and periodic assessment</w:t>
      </w:r>
    </w:p>
    <w:p w:rsidR="00426E33" w:rsidRPr="00B65278" w:rsidRDefault="00426E33" w:rsidP="00426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Assessment should consider breadth, challenge and application of learning</w:t>
      </w:r>
    </w:p>
    <w:p w:rsidR="00426E33" w:rsidRPr="00B65278" w:rsidRDefault="00426E33" w:rsidP="00426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learner is at the heart of the process.  Assessment approaches should allow the learner to demonstrate how well and how much they have learned</w:t>
      </w:r>
    </w:p>
    <w:p w:rsidR="00426E33" w:rsidRPr="00B65278" w:rsidRDefault="00426E33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Practice is most effective where teachers use a range of assessment approaches </w:t>
      </w:r>
      <w:proofErr w:type="spellStart"/>
      <w:r w:rsidRPr="00B65278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flexibily</w:t>
      </w:r>
      <w:proofErr w:type="spellEnd"/>
      <w:r w:rsidRPr="00B65278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to identify strengths, learning</w:t>
      </w:r>
      <w:r w:rsidR="0038002F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needs and appropriate support</w:t>
      </w:r>
      <w:proofErr w:type="gramStart"/>
      <w:r w:rsidR="0038002F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…..</w:t>
      </w:r>
      <w:proofErr w:type="gramEnd"/>
      <w:r w:rsidRPr="00B65278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(Building the Curriculum 5)</w:t>
      </w:r>
    </w:p>
    <w:p w:rsidR="00A233B3" w:rsidRPr="00B65278" w:rsidRDefault="00A233B3" w:rsidP="00426E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A233B3" w:rsidRDefault="00A233B3" w:rsidP="003C70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This link provides an exam</w:t>
      </w:r>
      <w:r w:rsidR="003C708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ple of how a school developed a collective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understanding of their assessment model in </w:t>
      </w:r>
      <w:r w:rsidR="003C708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numeracy and 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maths and what constitutes assessment in the context of that school: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</w:t>
      </w:r>
      <w:hyperlink r:id="rId7" w:history="1">
        <w:proofErr w:type="spellStart"/>
        <w:r w:rsidR="004227E6" w:rsidRPr="004227E6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Inservice</w:t>
        </w:r>
        <w:proofErr w:type="spellEnd"/>
        <w:r w:rsidR="004227E6" w:rsidRPr="004227E6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 xml:space="preserve"> Assessment Discussion</w:t>
        </w:r>
      </w:hyperlink>
    </w:p>
    <w:p w:rsidR="00426E33" w:rsidRDefault="00426E33" w:rsidP="003C70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26E33" w:rsidRPr="00B65278" w:rsidRDefault="00CF7184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If effectively planning</w:t>
      </w:r>
      <w:r w:rsidR="00426E3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numeracy and mathematics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learning</w:t>
      </w:r>
      <w:r w:rsidR="00426E3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opportunities for a</w:t>
      </w:r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ssessment naturally integrate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</w:t>
      </w:r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into daily</w:t>
      </w:r>
      <w:r w:rsidR="00426E3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teaching and learning</w:t>
      </w:r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episodes</w:t>
      </w:r>
      <w:r w:rsidR="00426E3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in a variety of ways</w:t>
      </w:r>
      <w:r w:rsidR="001D34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e.g. </w:t>
      </w:r>
      <w:hyperlink r:id="rId8" w:history="1">
        <w:r w:rsidR="001D34CB" w:rsidRPr="00AA3A2F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Number Talks</w:t>
        </w:r>
      </w:hyperlink>
      <w:bookmarkStart w:id="0" w:name="_GoBack"/>
      <w:bookmarkEnd w:id="0"/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 Here are some examples of how </w:t>
      </w:r>
      <w:r w:rsidR="004227E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 small group of</w:t>
      </w:r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East Ayrshire </w:t>
      </w:r>
      <w:r w:rsidR="004227E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practitioners reflected on ways that they were</w:t>
      </w:r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employing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range of</w:t>
      </w:r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AiFL</w:t>
      </w:r>
      <w:proofErr w:type="spellEnd"/>
      <w:r w:rsidR="00A233B3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approaches in maths to ‘check in’ with children and young people to assess progress through an episode of learning: </w:t>
      </w:r>
      <w:hyperlink r:id="rId9" w:history="1">
        <w:r w:rsidR="004227E6" w:rsidRPr="004227E6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Gathering Evidence</w:t>
        </w:r>
      </w:hyperlink>
      <w:r w:rsidR="004227E6" w:rsidRPr="004227E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0951FE" w:rsidRPr="00B65278" w:rsidRDefault="000951FE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38002F" w:rsidRDefault="00A233B3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Sourcing </w:t>
      </w:r>
      <w:r w:rsidR="0038002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or developing 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good quality assessment items is key and there are a wide range of assessment sources being utilised across East Ayrshire to support integrating assessment in learning and creating periodic assessment</w:t>
      </w:r>
      <w:r w:rsidR="00CF7184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.  The range of assessment sources available to practitioners include</w:t>
      </w: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assessments</w:t>
      </w:r>
      <w:r w:rsidR="0038002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included within commercially</w:t>
      </w:r>
      <w:r w:rsidR="00CF7184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purchased schemes, authority assessment tools, on-line sources and locally developed assessment tools.  </w:t>
      </w:r>
    </w:p>
    <w:p w:rsidR="0038002F" w:rsidRDefault="0038002F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EF0ED6" w:rsidRPr="00B65278" w:rsidRDefault="00CF7184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The following section refers to the sources of assessment shared through numeracy and maths CLPL over the last three years including assessment instruments used within the SAC </w:t>
      </w:r>
      <w:r w:rsidR="00EF0ED6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Raising Attainment in Numeracy Programme.</w:t>
      </w:r>
    </w:p>
    <w:p w:rsidR="000951FE" w:rsidRPr="000951FE" w:rsidRDefault="000951FE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</w:t>
      </w:r>
      <w:r w:rsidR="0038002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East Ayrshire Numeracy Group created</w:t>
      </w: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the Numeracy Toolkit Assessments.  These </w:t>
      </w:r>
      <w:r w:rsidR="0038002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assessments were locally produced </w:t>
      </w: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assessment</w:t>
      </w:r>
      <w:r w:rsidR="0038002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 designed to support teacher judgement</w:t>
      </w: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around the end of a level. These</w:t>
      </w:r>
      <w:r w:rsidR="00EF0ED6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assessments </w:t>
      </w: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still </w:t>
      </w:r>
      <w:r w:rsidR="00EF0ED6" w:rsidRPr="00B652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provide </w:t>
      </w: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 good source of questions for an assessment of this type.  They are here:</w:t>
      </w:r>
    </w:p>
    <w:p w:rsidR="000951FE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</w:pPr>
      <w:hyperlink r:id="rId10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First Level Toolkit</w:t>
        </w:r>
      </w:hyperlink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hyperlink r:id="rId11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Second Level Toolkit</w:t>
        </w:r>
      </w:hyperlink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hyperlink r:id="rId12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Third Level Toolkit</w:t>
        </w:r>
      </w:hyperlink>
    </w:p>
    <w:p w:rsidR="001D34CB" w:rsidRPr="000951FE" w:rsidRDefault="001D34C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951FE" w:rsidRPr="000951FE" w:rsidRDefault="00EF0ED6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ttempting to create </w:t>
      </w:r>
      <w:r w:rsidR="0038002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such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>a standardised assessment for a level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/stage of progress is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002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very challenging and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>the creation of an assessment bank by schools may be better way to go.  A grouping of assessment questions or assessment tasks for one group of learners may not be appropriate for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another set of learners as these assessment tools, if </w:t>
      </w:r>
      <w:proofErr w:type="gramStart"/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li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>n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ked</w:t>
      </w:r>
      <w:proofErr w:type="gramEnd"/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learning, should assess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learning that has taken place.  Moderati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ng assessment questions/tasks for such a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bank to ensure they assess depth, challenge and a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pplication would be beneficial.</w:t>
      </w:r>
    </w:p>
    <w:p w:rsidR="000951FE" w:rsidRDefault="000951FE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  <w:lang w:eastAsia="en-GB"/>
        </w:rPr>
      </w:pPr>
      <w:r w:rsidRPr="000951FE">
        <w:rPr>
          <w:rFonts w:eastAsia="Times New Roman" w:cstheme="minorHAnsi"/>
          <w:color w:val="000000"/>
          <w:sz w:val="24"/>
          <w:szCs w:val="24"/>
          <w:lang w:eastAsia="en-GB"/>
        </w:rPr>
        <w:t>This is why many providers of standardised assessment in maths use an adaptive model in their standardised assessments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241E2" w:rsidRPr="000951FE">
        <w:rPr>
          <w:rFonts w:eastAsia="Times New Roman" w:cstheme="minorHAnsi"/>
          <w:color w:val="000000"/>
          <w:sz w:val="24"/>
          <w:szCs w:val="24"/>
          <w:lang w:eastAsia="en-GB"/>
        </w:rPr>
        <w:t>(like SNSA, and CEM)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that children are not presented with </w:t>
      </w:r>
      <w:r w:rsidRPr="000951FE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too m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any questions they </w:t>
      </w:r>
      <w:proofErr w:type="gramStart"/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>can't</w:t>
      </w:r>
      <w:proofErr w:type="gramEnd"/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answer within assessment tasks.</w:t>
      </w:r>
      <w:r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F407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Scottish Government advice on the use of standardised assessments </w:t>
      </w:r>
      <w:proofErr w:type="gramStart"/>
      <w:r w:rsidR="007F407C">
        <w:rPr>
          <w:rFonts w:eastAsia="Times New Roman" w:cstheme="minorHAnsi"/>
          <w:color w:val="000000"/>
          <w:sz w:val="24"/>
          <w:szCs w:val="24"/>
          <w:lang w:eastAsia="en-GB"/>
        </w:rPr>
        <w:t>can be found</w:t>
      </w:r>
      <w:proofErr w:type="gramEnd"/>
      <w:r w:rsidR="00E46C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Appendix</w:t>
      </w:r>
      <w:r w:rsidR="007F407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below.  </w:t>
      </w:r>
      <w:r w:rsidR="007F407C" w:rsidRPr="007F407C">
        <w:rPr>
          <w:rFonts w:eastAsia="Times New Roman" w:cstheme="minorHAnsi"/>
          <w:bCs/>
          <w:color w:val="333333"/>
          <w:sz w:val="24"/>
          <w:szCs w:val="24"/>
          <w:lang w:eastAsia="en-GB"/>
        </w:rPr>
        <w:t xml:space="preserve">This advice </w:t>
      </w:r>
      <w:proofErr w:type="gramStart"/>
      <w:r w:rsidR="007F407C" w:rsidRPr="007F407C">
        <w:rPr>
          <w:rFonts w:eastAsia="Times New Roman" w:cstheme="minorHAnsi"/>
          <w:bCs/>
          <w:color w:val="333333"/>
          <w:sz w:val="24"/>
          <w:szCs w:val="24"/>
          <w:lang w:eastAsia="en-GB"/>
        </w:rPr>
        <w:t>could be applied</w:t>
      </w:r>
      <w:proofErr w:type="gramEnd"/>
      <w:r w:rsidR="007F407C" w:rsidRPr="007F407C">
        <w:rPr>
          <w:rFonts w:eastAsia="Times New Roman" w:cstheme="minorHAnsi"/>
          <w:bCs/>
          <w:color w:val="333333"/>
          <w:sz w:val="24"/>
          <w:szCs w:val="24"/>
          <w:lang w:eastAsia="en-GB"/>
        </w:rPr>
        <w:t xml:space="preserve"> to any </w:t>
      </w:r>
      <w:r w:rsidR="007F407C">
        <w:rPr>
          <w:rFonts w:eastAsia="Times New Roman" w:cstheme="minorHAnsi"/>
          <w:bCs/>
          <w:color w:val="333333"/>
          <w:sz w:val="24"/>
          <w:szCs w:val="24"/>
          <w:lang w:eastAsia="en-GB"/>
        </w:rPr>
        <w:t xml:space="preserve">pieces of </w:t>
      </w:r>
      <w:r w:rsidR="007F407C" w:rsidRPr="007F407C">
        <w:rPr>
          <w:rFonts w:eastAsia="Times New Roman" w:cstheme="minorHAnsi"/>
          <w:bCs/>
          <w:color w:val="333333"/>
          <w:sz w:val="24"/>
          <w:szCs w:val="24"/>
          <w:lang w:eastAsia="en-GB"/>
        </w:rPr>
        <w:t>summative assessment</w:t>
      </w:r>
      <w:r w:rsidR="00E46CDB">
        <w:rPr>
          <w:rFonts w:eastAsia="Times New Roman" w:cstheme="minorHAnsi"/>
          <w:bCs/>
          <w:color w:val="333333"/>
          <w:sz w:val="24"/>
          <w:szCs w:val="24"/>
          <w:lang w:eastAsia="en-GB"/>
        </w:rPr>
        <w:t xml:space="preserve"> used to assess progress in numeracy and mathematics.</w:t>
      </w:r>
    </w:p>
    <w:p w:rsidR="001D34CB" w:rsidRPr="001D34CB" w:rsidRDefault="001D34C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951FE" w:rsidRPr="000951FE" w:rsidRDefault="00EF0ED6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high quality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source of questions for such a bank is available from White Rose Maths.  The assessments </w:t>
      </w:r>
      <w:proofErr w:type="gramStart"/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>are linked</w:t>
      </w:r>
      <w:proofErr w:type="gramEnd"/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individual topics and end of blocks of learnin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g. 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These assessments </w:t>
      </w:r>
      <w:proofErr w:type="gramStart"/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>are developed</w:t>
      </w:r>
      <w:proofErr w:type="gramEnd"/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the English 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education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>system but the majority of questions are relevant to the similar age and stage in the B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GE.  A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number of our schools across the authority 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using these as a source of assessment questions 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and are referred to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regularly within authority CLPL inputs.  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A large number of these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assessments </w:t>
      </w:r>
      <w:proofErr w:type="gramStart"/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have been uploaded</w:t>
      </w:r>
      <w:proofErr w:type="gramEnd"/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>as a bank to the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East Ayrshire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Numeracy </w:t>
      </w:r>
      <w:r w:rsidR="000951FE" w:rsidRPr="000951FE">
        <w:rPr>
          <w:rFonts w:eastAsia="Times New Roman" w:cstheme="minorHAnsi"/>
          <w:color w:val="000000"/>
          <w:sz w:val="24"/>
          <w:szCs w:val="24"/>
          <w:lang w:eastAsia="en-GB"/>
        </w:rPr>
        <w:t>Tile on Glow here:</w:t>
      </w:r>
    </w:p>
    <w:p w:rsidR="000951FE" w:rsidRPr="000951FE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13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White Rose Autumn Assessments</w:t>
        </w:r>
      </w:hyperlink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hyperlink r:id="rId14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White Rose Spring Assessments</w:t>
        </w:r>
      </w:hyperlink>
    </w:p>
    <w:p w:rsidR="000951FE" w:rsidRPr="000951FE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15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White Rose Summer Assessments</w:t>
        </w:r>
      </w:hyperlink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1D34CB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hyperlink r:id="rId16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White Rose End of Block Assessments</w:t>
        </w:r>
      </w:hyperlink>
    </w:p>
    <w:p w:rsidR="00EF3C95" w:rsidRDefault="000951FE" w:rsidP="00EF3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951FE">
        <w:rPr>
          <w:rFonts w:eastAsia="Times New Roman" w:cstheme="minorHAnsi"/>
          <w:color w:val="000000"/>
          <w:sz w:val="24"/>
          <w:szCs w:val="24"/>
          <w:lang w:eastAsia="en-GB"/>
        </w:rPr>
        <w:t>Th</w:t>
      </w:r>
      <w:r w:rsidR="00EF3C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full range of assessments are 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available on the White Rose Maths website </w:t>
      </w:r>
      <w:r w:rsidRPr="000951FE">
        <w:rPr>
          <w:rFonts w:eastAsia="Times New Roman" w:cstheme="minorHAnsi"/>
          <w:color w:val="000000"/>
          <w:sz w:val="24"/>
          <w:szCs w:val="24"/>
          <w:lang w:eastAsia="en-GB"/>
        </w:rPr>
        <w:t>here: </w:t>
      </w:r>
    </w:p>
    <w:p w:rsidR="000951FE" w:rsidRDefault="0032105B" w:rsidP="002C5A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</w:pPr>
      <w:hyperlink r:id="rId17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https://whiterosemaths.com/resources/assessment/primary-assessment/</w:t>
        </w:r>
      </w:hyperlink>
    </w:p>
    <w:p w:rsidR="001D34CB" w:rsidRPr="000951FE" w:rsidRDefault="001D34CB" w:rsidP="002C5A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951FE" w:rsidRPr="000951FE" w:rsidRDefault="000951FE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Another high quality source of assessment is from the National Centre for Excellence in Teaching Mathematics (NCETM).  These assessment resources </w:t>
      </w:r>
      <w:proofErr w:type="gramStart"/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are structured</w:t>
      </w:r>
      <w:proofErr w:type="gramEnd"/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to assess mastery of a particular concept and beyond mastery (challenge) in relation to a particular concept.  Again, created in an English context but very relevant to the BGE.  Uploaded on the Glow tile here: </w:t>
      </w:r>
      <w:hyperlink r:id="rId18" w:tgtFrame="_blank" w:tooltip="https://glowscotland.sharepoint.com/sites/EastAyrshire/eastayrshirenumhub2017/eanummathshiblyndaktrainingmain2018/Shared%20Documents/NCETM%20Assessment%20Materials" w:history="1">
        <w:r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NCETM Assessment Materials</w:t>
        </w:r>
      </w:hyperlink>
    </w:p>
    <w:p w:rsidR="00EF0ED6" w:rsidRPr="00B65278" w:rsidRDefault="000951FE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They start from Year 1 (P2). They are </w:t>
      </w:r>
      <w:r w:rsidR="007241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available through the NCETM website </w:t>
      </w:r>
      <w:r w:rsidRPr="000951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here: </w:t>
      </w:r>
    </w:p>
    <w:p w:rsidR="000951FE" w:rsidRPr="00B65278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19" w:tgtFrame="_blank" w:history="1">
        <w:r w:rsidR="000951FE" w:rsidRPr="000951F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https://www.ncetm.org.uk/classroom-resources/assessment-materials-primary/</w:t>
        </w:r>
      </w:hyperlink>
    </w:p>
    <w:p w:rsidR="00EF0ED6" w:rsidRPr="00B65278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20" w:history="1">
        <w:r w:rsidR="00EF0ED6" w:rsidRPr="00B65278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https://www.ncetm.org.uk/classroom-resources/assessment-materials-secondary/</w:t>
        </w:r>
      </w:hyperlink>
      <w:r w:rsidR="00EF0ED6"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EF0ED6" w:rsidRPr="00B65278" w:rsidRDefault="00EF0ED6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F3C95" w:rsidRDefault="00EF0ED6" w:rsidP="003C708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EA 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Diagnostic </w:t>
      </w:r>
      <w:r w:rsidR="002C5A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Assessment Tool adapted from the New Zealand Assessment Tool </w:t>
      </w:r>
      <w:proofErr w:type="gramStart"/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>is designed</w:t>
      </w:r>
      <w:proofErr w:type="gramEnd"/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assess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knowledge and strategies </w:t>
      </w:r>
      <w:r w:rsidR="004F03DC" w:rsidRPr="00B65278">
        <w:rPr>
          <w:rFonts w:eastAsia="Times New Roman" w:cstheme="minorHAnsi"/>
          <w:color w:val="000000"/>
          <w:sz w:val="24"/>
          <w:szCs w:val="24"/>
          <w:lang w:eastAsia="en-GB"/>
        </w:rPr>
        <w:t>used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 children</w:t>
      </w:r>
      <w:r w:rsidR="004F03DC"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across key concepts.  It can be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>time consuming</w:t>
      </w:r>
      <w:r w:rsidR="004F03DC"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assessment to administer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4F03DC" w:rsidRPr="00B65278">
        <w:rPr>
          <w:rFonts w:eastAsia="Times New Roman" w:cstheme="minorHAnsi"/>
          <w:color w:val="000000"/>
          <w:sz w:val="24"/>
          <w:szCs w:val="24"/>
          <w:lang w:eastAsia="en-GB"/>
        </w:rPr>
        <w:t>if used in its entirety,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it is a one to one assessment</w:t>
      </w:r>
      <w:r w:rsidR="004F03DC" w:rsidRPr="00B65278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gives valuable evidence regarding a child's progress across num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ber concepts.  The toolkit </w:t>
      </w:r>
      <w:proofErr w:type="gramStart"/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>can be accessed</w:t>
      </w:r>
      <w:proofErr w:type="gramEnd"/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here:</w:t>
      </w:r>
    </w:p>
    <w:p w:rsidR="00EF0ED6" w:rsidRPr="00EF0ED6" w:rsidRDefault="00EF0ED6" w:rsidP="003C708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hyperlink r:id="rId21" w:tgtFrame="_blank" w:history="1">
        <w:r w:rsidRPr="00EF0ED6">
          <w:rPr>
            <w:rFonts w:eastAsia="Times New Roman" w:cstheme="minorHAnsi"/>
            <w:noProof/>
            <w:color w:val="0000FF"/>
            <w:sz w:val="24"/>
            <w:szCs w:val="24"/>
            <w:bdr w:val="none" w:sz="0" w:space="0" w:color="auto" w:frame="1"/>
            <w:shd w:val="clear" w:color="auto" w:fill="F3F2F1"/>
            <w:lang w:eastAsia="en-GB"/>
          </w:rPr>
          <w:drawing>
            <wp:inline distT="0" distB="0" distL="0" distR="0" wp14:anchorId="1CA0F018" wp14:editId="5B8F2FA1">
              <wp:extent cx="152400" cy="152400"/>
              <wp:effectExtent l="0" t="0" r="0" b="0"/>
              <wp:docPr id="1" name="Picture 1" descr="https://outlook-2.cdn.office.net/assets/mail/file-icon/png/folder_16x16.png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outlook-2.cdn.office.net/assets/mail/file-icon/png/folder_16x16.png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0ED6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3F2F1"/>
            <w:lang w:eastAsia="en-GB"/>
          </w:rPr>
          <w:t>EA Assessment Tool</w:t>
        </w:r>
      </w:hyperlink>
    </w:p>
    <w:p w:rsidR="00EF3C95" w:rsidRDefault="00EF0ED6" w:rsidP="003C708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SAC 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>AIMs have created a video for C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lassroom 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>As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sistants</w:t>
      </w: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 using the tool here: </w:t>
      </w:r>
    </w:p>
    <w:p w:rsidR="00EF0ED6" w:rsidRDefault="00EF0ED6" w:rsidP="003C708C">
      <w:pPr>
        <w:spacing w:after="0" w:line="240" w:lineRule="auto"/>
        <w:jc w:val="both"/>
        <w:textAlignment w:val="baseline"/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shd w:val="clear" w:color="auto" w:fill="F3F2F1"/>
          <w:lang w:eastAsia="en-GB"/>
        </w:rPr>
      </w:pPr>
      <w:r w:rsidRPr="00EF0ED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hyperlink r:id="rId23" w:tgtFrame="_blank" w:history="1">
        <w:r w:rsidRPr="00EF0ED6">
          <w:rPr>
            <w:rFonts w:eastAsia="Times New Roman" w:cstheme="minorHAnsi"/>
            <w:noProof/>
            <w:color w:val="0000FF"/>
            <w:sz w:val="24"/>
            <w:szCs w:val="24"/>
            <w:bdr w:val="none" w:sz="0" w:space="0" w:color="auto" w:frame="1"/>
            <w:shd w:val="clear" w:color="auto" w:fill="F3F2F1"/>
            <w:lang w:eastAsia="en-GB"/>
          </w:rPr>
          <w:drawing>
            <wp:inline distT="0" distB="0" distL="0" distR="0" wp14:anchorId="65278004" wp14:editId="04B31102">
              <wp:extent cx="152400" cy="152400"/>
              <wp:effectExtent l="0" t="0" r="0" b="0"/>
              <wp:docPr id="2" name="Picture 2" descr="https://outlook-1.cdn.office.net/assets/mail/file-icon/png/video_16x16.png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outlook-1.cdn.office.net/assets/mail/file-icon/png/video_16x16.png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0ED6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3F2F1"/>
            <w:lang w:eastAsia="en-GB"/>
          </w:rPr>
          <w:t>EA Numeracy Assessment guidance.mp4</w:t>
        </w:r>
      </w:hyperlink>
    </w:p>
    <w:p w:rsidR="001D34CB" w:rsidRPr="00B65278" w:rsidRDefault="001D34CB" w:rsidP="003C708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F03DC" w:rsidRPr="00EF0ED6" w:rsidRDefault="00EF0ED6" w:rsidP="003C708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The links above refer to the most common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ly used assessment sources by establishments </w:t>
      </w:r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across the authority but a few more </w:t>
      </w:r>
      <w:r w:rsidR="007241E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sources </w:t>
      </w:r>
      <w:proofErr w:type="gramStart"/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>are listed</w:t>
      </w:r>
      <w:proofErr w:type="gramEnd"/>
      <w:r w:rsidRPr="00B652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here:</w:t>
      </w:r>
    </w:p>
    <w:p w:rsidR="00EF0ED6" w:rsidRPr="00B65278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25" w:history="1">
        <w:r w:rsidR="00B65278" w:rsidRPr="00B65278">
          <w:rPr>
            <w:rStyle w:val="Hyperlink"/>
            <w:rFonts w:eastAsia="Times New Roman" w:cstheme="minorHAnsi"/>
            <w:sz w:val="24"/>
            <w:szCs w:val="24"/>
            <w:lang w:eastAsia="en-GB"/>
          </w:rPr>
          <w:t>NRICH Early Years Activities</w:t>
        </w:r>
      </w:hyperlink>
    </w:p>
    <w:p w:rsidR="00B65278" w:rsidRPr="00B65278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26" w:history="1">
        <w:r w:rsidR="00B65278" w:rsidRPr="00B65278">
          <w:rPr>
            <w:rStyle w:val="Hyperlink"/>
            <w:rFonts w:eastAsia="Times New Roman" w:cstheme="minorHAnsi"/>
            <w:sz w:val="24"/>
            <w:szCs w:val="24"/>
            <w:lang w:eastAsia="en-GB"/>
          </w:rPr>
          <w:t>NRICH Curricular Mapping Document (Scotland)</w:t>
        </w:r>
      </w:hyperlink>
    </w:p>
    <w:p w:rsidR="00B65278" w:rsidRPr="00B65278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27" w:history="1">
        <w:proofErr w:type="spellStart"/>
        <w:r w:rsidR="00B65278" w:rsidRPr="00B65278">
          <w:rPr>
            <w:rStyle w:val="Hyperlink"/>
            <w:rFonts w:eastAsia="Times New Roman" w:cstheme="minorHAnsi"/>
            <w:sz w:val="24"/>
            <w:szCs w:val="24"/>
            <w:lang w:eastAsia="en-GB"/>
          </w:rPr>
          <w:t>Transum</w:t>
        </w:r>
        <w:proofErr w:type="spellEnd"/>
        <w:r w:rsidR="00B65278" w:rsidRPr="00B65278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Maths</w:t>
        </w:r>
      </w:hyperlink>
    </w:p>
    <w:p w:rsidR="00B65278" w:rsidRPr="00B65278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28" w:history="1">
        <w:r w:rsidR="00B65278" w:rsidRPr="00B65278">
          <w:rPr>
            <w:rStyle w:val="Hyperlink"/>
            <w:rFonts w:eastAsia="Times New Roman" w:cstheme="minorHAnsi"/>
            <w:sz w:val="24"/>
            <w:szCs w:val="24"/>
            <w:lang w:eastAsia="en-GB"/>
          </w:rPr>
          <w:t>Open Middle</w:t>
        </w:r>
      </w:hyperlink>
    </w:p>
    <w:p w:rsidR="00B65278" w:rsidRDefault="0032105B" w:rsidP="003C708C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eastAsia="Times New Roman" w:cstheme="minorHAnsi"/>
          <w:sz w:val="24"/>
          <w:szCs w:val="24"/>
          <w:lang w:eastAsia="en-GB"/>
        </w:rPr>
      </w:pPr>
      <w:hyperlink r:id="rId29" w:history="1">
        <w:r w:rsidR="00B65278" w:rsidRPr="00B65278">
          <w:rPr>
            <w:rStyle w:val="Hyperlink"/>
            <w:rFonts w:eastAsia="Times New Roman" w:cstheme="minorHAnsi"/>
            <w:sz w:val="24"/>
            <w:szCs w:val="24"/>
            <w:lang w:eastAsia="en-GB"/>
          </w:rPr>
          <w:t>Primary Maths Challenge Question Downloads</w:t>
        </w:r>
      </w:hyperlink>
    </w:p>
    <w:p w:rsidR="001D34CB" w:rsidRDefault="001D34CB" w:rsidP="001D34CB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</w:pPr>
      <w:r w:rsidRPr="001D34CB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This list is not exhaustive 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>and there is a</w:t>
      </w:r>
      <w:r w:rsidRPr="001D34CB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 wide range of assessment sources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 available</w:t>
      </w:r>
      <w:r w:rsidRPr="001D34CB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 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>that teachers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 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>will find useful in gauging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 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>learners’ progress in numeracy and mathematics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>.</w:t>
      </w:r>
      <w:r w:rsidRPr="001D34CB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 </w:t>
      </w:r>
    </w:p>
    <w:p w:rsidR="001D34CB" w:rsidRDefault="001D34CB" w:rsidP="001D34CB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</w:pPr>
    </w:p>
    <w:p w:rsidR="007F407C" w:rsidRPr="001D34CB" w:rsidRDefault="004F03DC" w:rsidP="001D34CB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</w:pPr>
      <w:r w:rsidRPr="00B65278">
        <w:rPr>
          <w:rFonts w:cstheme="minorHAnsi"/>
          <w:sz w:val="24"/>
          <w:szCs w:val="24"/>
        </w:rPr>
        <w:t xml:space="preserve">Further information and key messages on </w:t>
      </w:r>
      <w:r w:rsidR="007241E2">
        <w:rPr>
          <w:rFonts w:cstheme="minorHAnsi"/>
          <w:sz w:val="24"/>
          <w:szCs w:val="24"/>
        </w:rPr>
        <w:t xml:space="preserve">developing </w:t>
      </w:r>
      <w:r w:rsidRPr="00B65278">
        <w:rPr>
          <w:rFonts w:cstheme="minorHAnsi"/>
          <w:sz w:val="24"/>
          <w:szCs w:val="24"/>
        </w:rPr>
        <w:t xml:space="preserve">High Quality Assessment </w:t>
      </w:r>
      <w:proofErr w:type="gramStart"/>
      <w:r w:rsidRPr="00B65278">
        <w:rPr>
          <w:rFonts w:cstheme="minorHAnsi"/>
          <w:sz w:val="24"/>
          <w:szCs w:val="24"/>
        </w:rPr>
        <w:t>can be found</w:t>
      </w:r>
      <w:proofErr w:type="gramEnd"/>
      <w:r w:rsidRPr="00B65278">
        <w:rPr>
          <w:rFonts w:cstheme="minorHAnsi"/>
          <w:sz w:val="24"/>
          <w:szCs w:val="24"/>
        </w:rPr>
        <w:t xml:space="preserve"> here on the </w:t>
      </w:r>
      <w:hyperlink r:id="rId30" w:history="1">
        <w:r w:rsidRPr="00B65278">
          <w:rPr>
            <w:rStyle w:val="Hyperlink"/>
            <w:rFonts w:cstheme="minorHAnsi"/>
            <w:sz w:val="24"/>
            <w:szCs w:val="24"/>
          </w:rPr>
          <w:t>East Ayrshire Planning, Learning, Teaching, Assessment and Moderation Blog</w:t>
        </w:r>
      </w:hyperlink>
    </w:p>
    <w:p w:rsidR="001D34CB" w:rsidRDefault="001D34CB" w:rsidP="003C708C">
      <w:pPr>
        <w:jc w:val="both"/>
        <w:rPr>
          <w:rStyle w:val="Hyperlink"/>
          <w:rFonts w:cstheme="minorHAnsi"/>
          <w:sz w:val="24"/>
          <w:szCs w:val="24"/>
        </w:rPr>
      </w:pPr>
    </w:p>
    <w:p w:rsidR="007F407C" w:rsidRPr="00E46CDB" w:rsidRDefault="00E46CDB" w:rsidP="007F407C">
      <w:pPr>
        <w:shd w:val="clear" w:color="auto" w:fill="FFFFFF"/>
        <w:spacing w:after="0" w:line="420" w:lineRule="atLeast"/>
        <w:outlineLvl w:val="2"/>
        <w:rPr>
          <w:rFonts w:eastAsia="Times New Roman" w:cstheme="minorHAnsi"/>
          <w:bCs/>
          <w:color w:val="333333"/>
          <w:sz w:val="24"/>
          <w:szCs w:val="24"/>
          <w:u w:val="single"/>
          <w:lang w:eastAsia="en-GB"/>
        </w:rPr>
      </w:pPr>
      <w:r w:rsidRPr="00E46CDB">
        <w:rPr>
          <w:rFonts w:eastAsia="Times New Roman" w:cstheme="minorHAnsi"/>
          <w:bCs/>
          <w:color w:val="333333"/>
          <w:sz w:val="24"/>
          <w:szCs w:val="24"/>
          <w:u w:val="single"/>
          <w:lang w:eastAsia="en-GB"/>
        </w:rPr>
        <w:t>Appendix</w:t>
      </w:r>
    </w:p>
    <w:p w:rsidR="007F407C" w:rsidRDefault="007F407C" w:rsidP="007F407C">
      <w:pPr>
        <w:shd w:val="clear" w:color="auto" w:fill="FFFFFF"/>
        <w:spacing w:after="0" w:line="420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n-GB"/>
        </w:rPr>
      </w:pPr>
      <w:r w:rsidRPr="007F407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n-GB"/>
        </w:rPr>
        <w:t xml:space="preserve">Practical advice on how standardised assessments </w:t>
      </w:r>
      <w:proofErr w:type="gramStart"/>
      <w:r w:rsidRPr="007F407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n-GB"/>
        </w:rPr>
        <w:t>can be used</w:t>
      </w:r>
      <w:proofErr w:type="gramEnd"/>
      <w:r w:rsidRPr="007F407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n-GB"/>
        </w:rPr>
        <w:t xml:space="preserve"> in the context of the Scottish assessment approach</w:t>
      </w:r>
    </w:p>
    <w:p w:rsidR="007F407C" w:rsidRPr="007F407C" w:rsidRDefault="007F407C" w:rsidP="007F407C">
      <w:pPr>
        <w:shd w:val="clear" w:color="auto" w:fill="FFFFFF"/>
        <w:spacing w:after="0" w:line="420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n-GB"/>
        </w:rPr>
      </w:pPr>
    </w:p>
    <w:p w:rsidR="007F407C" w:rsidRPr="007F407C" w:rsidRDefault="007F407C" w:rsidP="007F407C">
      <w:pPr>
        <w:shd w:val="clear" w:color="auto" w:fill="FFFFFF"/>
        <w:spacing w:after="0" w:line="315" w:lineRule="atLeast"/>
        <w:outlineLvl w:val="3"/>
        <w:rPr>
          <w:rFonts w:ascii="Helvetica" w:eastAsia="Times New Roman" w:hAnsi="Helvetica" w:cs="Times New Roman"/>
          <w:b/>
          <w:bCs/>
          <w:color w:val="333333"/>
          <w:spacing w:val="5"/>
          <w:sz w:val="26"/>
          <w:szCs w:val="26"/>
          <w:lang w:eastAsia="en-GB"/>
        </w:rPr>
      </w:pPr>
      <w:r w:rsidRPr="007F407C">
        <w:rPr>
          <w:rFonts w:ascii="Helvetica" w:eastAsia="Times New Roman" w:hAnsi="Helvetica" w:cs="Times New Roman"/>
          <w:b/>
          <w:bCs/>
          <w:color w:val="333333"/>
          <w:spacing w:val="5"/>
          <w:sz w:val="26"/>
          <w:szCs w:val="26"/>
          <w:lang w:eastAsia="en-GB"/>
        </w:rPr>
        <w:t>Practitioners</w:t>
      </w:r>
    </w:p>
    <w:tbl>
      <w:tblPr>
        <w:tblW w:w="9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7F407C" w:rsidRPr="007F407C" w:rsidTr="007F407C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7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GB"/>
              </w:rPr>
              <w:t>Do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22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GB"/>
              </w:rPr>
              <w:t>Don’t</w:t>
            </w:r>
          </w:p>
        </w:tc>
      </w:tr>
      <w:tr w:rsidR="007F407C" w:rsidRPr="007F407C" w:rsidTr="007F407C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7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Plan the SNSA/MCNG as part of normal teaching, learning and assessment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22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Don’t set up the SNSAs/MCNGs as a special or extra activity</w:t>
            </w:r>
          </w:p>
        </w:tc>
      </w:tr>
      <w:tr w:rsidR="007F407C" w:rsidRPr="007F407C" w:rsidTr="007F407C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7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Remember that the SNSAs/MCNGs only assess some aspects of the literacy and numeracy curriculum 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22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 xml:space="preserve">Don’t consider SNSA/MCNG outcomes as the sole means of identifying whether or not children have achieved </w:t>
            </w:r>
            <w:proofErr w:type="spellStart"/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CfE</w:t>
            </w:r>
            <w:proofErr w:type="spellEnd"/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 xml:space="preserve"> levels</w:t>
            </w:r>
          </w:p>
        </w:tc>
      </w:tr>
      <w:tr w:rsidR="007F407C" w:rsidRPr="007F407C" w:rsidTr="007F407C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7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Administer the SNSAs/MCNGs at a time of you and your school’s choosing, based on how you will use the diagnostic information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6" w:space="0" w:color="EBEBEB"/>
              <w:right w:val="outset" w:sz="6" w:space="0" w:color="auto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22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Don’t limit SNSAs/MCNGs to an assessment window</w:t>
            </w:r>
          </w:p>
        </w:tc>
      </w:tr>
      <w:tr w:rsidR="007F407C" w:rsidRPr="007F407C" w:rsidTr="00E46CDB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7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Think about how SNSA/MCNG diagnostic information can be used as part of a range of evidence, to </w:t>
            </w:r>
            <w:r w:rsidRPr="007F407C">
              <w:rPr>
                <w:rFonts w:ascii="Helvetica" w:eastAsia="Times New Roman" w:hAnsi="Helvetica" w:cs="Times New Roman"/>
                <w:i/>
                <w:iCs/>
                <w:color w:val="333333"/>
                <w:sz w:val="24"/>
                <w:szCs w:val="24"/>
                <w:lang w:eastAsia="en-GB"/>
              </w:rPr>
              <w:t>contribute</w:t>
            </w: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, to:</w:t>
            </w:r>
          </w:p>
          <w:p w:rsidR="007F407C" w:rsidRPr="007F407C" w:rsidRDefault="007F407C" w:rsidP="007F407C">
            <w:pPr>
              <w:numPr>
                <w:ilvl w:val="0"/>
                <w:numId w:val="2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identifying learners’ strengths and development needs</w:t>
            </w:r>
          </w:p>
          <w:p w:rsidR="007F407C" w:rsidRPr="007F407C" w:rsidRDefault="007F407C" w:rsidP="007F407C">
            <w:pPr>
              <w:numPr>
                <w:ilvl w:val="0"/>
                <w:numId w:val="2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planning next steps in learning</w:t>
            </w:r>
          </w:p>
          <w:p w:rsidR="007F407C" w:rsidRPr="007F407C" w:rsidRDefault="007F407C" w:rsidP="007F407C">
            <w:pPr>
              <w:numPr>
                <w:ilvl w:val="0"/>
                <w:numId w:val="2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moderation activities</w:t>
            </w:r>
          </w:p>
          <w:p w:rsidR="007F407C" w:rsidRPr="007F407C" w:rsidRDefault="007F407C" w:rsidP="007F407C">
            <w:pPr>
              <w:numPr>
                <w:ilvl w:val="0"/>
                <w:numId w:val="2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teacher professional judgements on progress</w:t>
            </w:r>
          </w:p>
          <w:p w:rsidR="007F407C" w:rsidRPr="007F407C" w:rsidRDefault="007F407C" w:rsidP="007F407C">
            <w:pPr>
              <w:numPr>
                <w:ilvl w:val="0"/>
                <w:numId w:val="2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ongoing, holistic feedback for parents</w:t>
            </w:r>
          </w:p>
          <w:p w:rsidR="007F407C" w:rsidRPr="007F407C" w:rsidRDefault="007F407C" w:rsidP="007F407C">
            <w:pPr>
              <w:numPr>
                <w:ilvl w:val="0"/>
                <w:numId w:val="2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information for transition</w:t>
            </w:r>
          </w:p>
          <w:p w:rsidR="007F407C" w:rsidRPr="007F407C" w:rsidRDefault="007F407C" w:rsidP="007F407C">
            <w:pPr>
              <w:numPr>
                <w:ilvl w:val="0"/>
                <w:numId w:val="2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decisions about grouping children</w:t>
            </w:r>
          </w:p>
          <w:p w:rsidR="007F407C" w:rsidRPr="007F407C" w:rsidRDefault="007F407C" w:rsidP="007F407C">
            <w:pPr>
              <w:spacing w:after="420" w:line="315" w:lineRule="atLeast"/>
              <w:ind w:left="72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22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Don’t use SNSA/MCNG data in isolation or give it greater weight than other assessment evidence, when:</w:t>
            </w:r>
          </w:p>
          <w:p w:rsidR="007F407C" w:rsidRPr="007F407C" w:rsidRDefault="007F407C" w:rsidP="007F407C">
            <w:pPr>
              <w:numPr>
                <w:ilvl w:val="0"/>
                <w:numId w:val="3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identifying learners’ strengths and development needs</w:t>
            </w:r>
          </w:p>
          <w:p w:rsidR="007F407C" w:rsidRPr="007F407C" w:rsidRDefault="007F407C" w:rsidP="007F407C">
            <w:pPr>
              <w:numPr>
                <w:ilvl w:val="0"/>
                <w:numId w:val="3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planning next steps in learning</w:t>
            </w:r>
          </w:p>
          <w:p w:rsidR="007F407C" w:rsidRPr="007F407C" w:rsidRDefault="007F407C" w:rsidP="007F407C">
            <w:pPr>
              <w:numPr>
                <w:ilvl w:val="0"/>
                <w:numId w:val="3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undertaking moderation activities</w:t>
            </w:r>
          </w:p>
          <w:p w:rsidR="007F407C" w:rsidRPr="007F407C" w:rsidRDefault="007F407C" w:rsidP="007F407C">
            <w:pPr>
              <w:numPr>
                <w:ilvl w:val="0"/>
                <w:numId w:val="3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making professional judgements on learners’ progress</w:t>
            </w:r>
          </w:p>
          <w:p w:rsidR="007F407C" w:rsidRPr="007F407C" w:rsidRDefault="007F407C" w:rsidP="007F407C">
            <w:pPr>
              <w:numPr>
                <w:ilvl w:val="0"/>
                <w:numId w:val="3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providing ongoing, holistic feedback to parents</w:t>
            </w:r>
          </w:p>
          <w:p w:rsidR="007F407C" w:rsidRPr="007F407C" w:rsidRDefault="007F407C" w:rsidP="007F407C">
            <w:pPr>
              <w:numPr>
                <w:ilvl w:val="0"/>
                <w:numId w:val="3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considering information for transition</w:t>
            </w:r>
          </w:p>
          <w:p w:rsidR="007F407C" w:rsidRPr="007F407C" w:rsidRDefault="007F407C" w:rsidP="007F407C">
            <w:pPr>
              <w:numPr>
                <w:ilvl w:val="0"/>
                <w:numId w:val="3"/>
              </w:numPr>
              <w:spacing w:after="0" w:line="315" w:lineRule="atLeast"/>
              <w:ind w:left="48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grouping children</w:t>
            </w:r>
          </w:p>
        </w:tc>
      </w:tr>
      <w:tr w:rsidR="007F407C" w:rsidRPr="007F407C" w:rsidTr="00E46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7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 xml:space="preserve">Consider the wellbeing of your </w:t>
            </w:r>
            <w:proofErr w:type="gramStart"/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children and use your professional judgement on the level of involvement</w:t>
            </w:r>
            <w:proofErr w:type="gramEnd"/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 xml:space="preserve"> and support that children with additional support needs require.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225" w:type="dxa"/>
            </w:tcMar>
            <w:hideMark/>
          </w:tcPr>
          <w:p w:rsidR="007F407C" w:rsidRPr="007F407C" w:rsidRDefault="007F407C" w:rsidP="007F407C">
            <w:pPr>
              <w:spacing w:after="0" w:line="315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</w:pPr>
            <w:proofErr w:type="gramStart"/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>Don’t</w:t>
            </w:r>
            <w:proofErr w:type="gramEnd"/>
            <w:r w:rsidRPr="007F407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GB"/>
              </w:rPr>
              <w:t xml:space="preserve"> create unnecessary tension or stress around assessments which are intended to be low stakes and diagnostic.</w:t>
            </w:r>
          </w:p>
        </w:tc>
      </w:tr>
    </w:tbl>
    <w:p w:rsidR="007F407C" w:rsidRDefault="007F407C" w:rsidP="007F407C">
      <w:pPr>
        <w:shd w:val="clear" w:color="auto" w:fill="FFFFFF"/>
        <w:spacing w:after="0" w:line="315" w:lineRule="atLeast"/>
        <w:outlineLvl w:val="3"/>
        <w:rPr>
          <w:rFonts w:ascii="Helvetica" w:eastAsia="Times New Roman" w:hAnsi="Helvetica" w:cs="Times New Roman"/>
          <w:b/>
          <w:bCs/>
          <w:color w:val="333333"/>
          <w:spacing w:val="5"/>
          <w:sz w:val="26"/>
          <w:szCs w:val="26"/>
          <w:lang w:eastAsia="en-GB"/>
        </w:rPr>
      </w:pPr>
    </w:p>
    <w:p w:rsidR="007F407C" w:rsidRDefault="007F407C" w:rsidP="007F407C">
      <w:pPr>
        <w:shd w:val="clear" w:color="auto" w:fill="FFFFFF"/>
        <w:spacing w:after="0" w:line="315" w:lineRule="atLeast"/>
        <w:outlineLvl w:val="3"/>
        <w:rPr>
          <w:rFonts w:ascii="Helvetica" w:eastAsia="Times New Roman" w:hAnsi="Helvetica" w:cs="Times New Roman"/>
          <w:b/>
          <w:bCs/>
          <w:color w:val="333333"/>
          <w:spacing w:val="5"/>
          <w:sz w:val="26"/>
          <w:szCs w:val="26"/>
          <w:lang w:eastAsia="en-GB"/>
        </w:rPr>
      </w:pPr>
    </w:p>
    <w:sectPr w:rsidR="007F407C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AD" w:rsidRDefault="003A46AD" w:rsidP="003A46AD">
      <w:pPr>
        <w:spacing w:after="0" w:line="240" w:lineRule="auto"/>
      </w:pPr>
      <w:r>
        <w:separator/>
      </w:r>
    </w:p>
  </w:endnote>
  <w:endnote w:type="continuationSeparator" w:id="0">
    <w:p w:rsidR="003A46AD" w:rsidRDefault="003A46AD" w:rsidP="003A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AD" w:rsidRDefault="003A46AD" w:rsidP="003A46AD">
      <w:pPr>
        <w:spacing w:after="0" w:line="240" w:lineRule="auto"/>
      </w:pPr>
      <w:r>
        <w:separator/>
      </w:r>
    </w:p>
  </w:footnote>
  <w:footnote w:type="continuationSeparator" w:id="0">
    <w:p w:rsidR="003A46AD" w:rsidRDefault="003A46AD" w:rsidP="003A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D" w:rsidRDefault="003A46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-220980</wp:posOffset>
          </wp:positionV>
          <wp:extent cx="863600" cy="610527"/>
          <wp:effectExtent l="0" t="0" r="0" b="0"/>
          <wp:wrapTight wrapText="bothSides">
            <wp:wrapPolygon edited="0">
              <wp:start x="0" y="0"/>
              <wp:lineTo x="0" y="20903"/>
              <wp:lineTo x="20965" y="20903"/>
              <wp:lineTo x="20965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61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-151130</wp:posOffset>
          </wp:positionV>
          <wp:extent cx="895350" cy="446093"/>
          <wp:effectExtent l="0" t="0" r="0" b="0"/>
          <wp:wrapTight wrapText="bothSides">
            <wp:wrapPolygon edited="0">
              <wp:start x="0" y="0"/>
              <wp:lineTo x="0" y="20308"/>
              <wp:lineTo x="21140" y="20308"/>
              <wp:lineTo x="21140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46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CD4"/>
    <w:multiLevelType w:val="multilevel"/>
    <w:tmpl w:val="C07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7312E"/>
    <w:multiLevelType w:val="hybridMultilevel"/>
    <w:tmpl w:val="DD40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B15C9"/>
    <w:multiLevelType w:val="multilevel"/>
    <w:tmpl w:val="CD5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FE"/>
    <w:rsid w:val="00010732"/>
    <w:rsid w:val="000951FE"/>
    <w:rsid w:val="001D34CB"/>
    <w:rsid w:val="00226907"/>
    <w:rsid w:val="00254D47"/>
    <w:rsid w:val="00281171"/>
    <w:rsid w:val="002C5ACB"/>
    <w:rsid w:val="0038002F"/>
    <w:rsid w:val="003A46AD"/>
    <w:rsid w:val="003C708C"/>
    <w:rsid w:val="004227E6"/>
    <w:rsid w:val="00426E33"/>
    <w:rsid w:val="004F03DC"/>
    <w:rsid w:val="007241E2"/>
    <w:rsid w:val="007F407C"/>
    <w:rsid w:val="00847F18"/>
    <w:rsid w:val="00A233B3"/>
    <w:rsid w:val="00AA3A2F"/>
    <w:rsid w:val="00B65278"/>
    <w:rsid w:val="00CA5AA0"/>
    <w:rsid w:val="00CF7184"/>
    <w:rsid w:val="00E221A5"/>
    <w:rsid w:val="00E46CDB"/>
    <w:rsid w:val="00EF0ED6"/>
    <w:rsid w:val="00E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9270"/>
  <w15:chartTrackingRefBased/>
  <w15:docId w15:val="{6073C142-B0A2-49F7-8A9E-9722CCC9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E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AD"/>
  </w:style>
  <w:style w:type="paragraph" w:styleId="Footer">
    <w:name w:val="footer"/>
    <w:basedOn w:val="Normal"/>
    <w:link w:val="FooterChar"/>
    <w:uiPriority w:val="99"/>
    <w:unhideWhenUsed/>
    <w:rsid w:val="003A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wscotland.sharepoint.com/sites/EastAyrshire/eastayrshirenumhub2017/eanummathshiblyndaktrainingmain2018/Shared%20Documents/White%20Rose%20Autumn%20Assessments" TargetMode="External"/><Relationship Id="rId18" Type="http://schemas.openxmlformats.org/officeDocument/2006/relationships/hyperlink" Target="https://glowscotland.sharepoint.com/sites/EastAyrshire/eastayrshirenumhub2017/eanummathshiblyndaktrainingmain2018/Shared%20Documents/NCETM%20Assessment%20Materials" TargetMode="External"/><Relationship Id="rId26" Type="http://schemas.openxmlformats.org/officeDocument/2006/relationships/hyperlink" Target="https://blogs.glowscotland.org.uk/ea/public/numeracyandmathematics/uploads/sites/16806/2020/07/03123347/CfEMappingNRICHLevels1_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wscotland.sharepoint.com/sites/EastAyrshire/eastayrshirenumhub2017/eanummathshiblyndaktrainingmain2018/Shared%20Documents/EA%20Assessment%20Tool" TargetMode="External"/><Relationship Id="rId7" Type="http://schemas.openxmlformats.org/officeDocument/2006/relationships/hyperlink" Target="https://glowscotland.sharepoint.com/sites/EastAyrshire/eastayrshirenumhub2017/eanummathshiblyndaktrainingmain2018/Shared%20Documents/Inservice%20ASSESSMENT%20discussion.docx?d=wad5bc2e39b5f41348a7700136f189a69" TargetMode="External"/><Relationship Id="rId12" Type="http://schemas.openxmlformats.org/officeDocument/2006/relationships/hyperlink" Target="https://glowscotland.sharepoint.com/sites/EastAyrshire/eaglowcentralsitemain2019/easacglowcentralmain2019/eanummathsresourcessitemain2019/Shared%20Documents/Numeracy%20Assessment%20Toolkit%20Third%20Level" TargetMode="External"/><Relationship Id="rId17" Type="http://schemas.openxmlformats.org/officeDocument/2006/relationships/hyperlink" Target="https://whiterosemaths.com/resources/assessment/primary-assessment/" TargetMode="External"/><Relationship Id="rId25" Type="http://schemas.openxmlformats.org/officeDocument/2006/relationships/hyperlink" Target="https://nrich.maths.org/1337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lowscotland.sharepoint.com/sites/EastAyrshire/eastayrshirenumhub2017/eanummathshiblyndaktrainingmain2018/Shared%20Documents/White%20Rose%20End%20of%20Block%20Assessments" TargetMode="External"/><Relationship Id="rId20" Type="http://schemas.openxmlformats.org/officeDocument/2006/relationships/hyperlink" Target="https://www.ncetm.org.uk/classroom-resources/assessment-materials-secondary/" TargetMode="External"/><Relationship Id="rId29" Type="http://schemas.openxmlformats.org/officeDocument/2006/relationships/hyperlink" Target="https://www.primarymathschallenge.org.uk/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wscotland.sharepoint.com/sites/EastAyrshire/eaglowcentralsitemain2019/easacglowcentralmain2019/eanummathsresourcessitemain2019/Shared%20Documents/Numeracy%20Assessment%20Toolkit%20Second%20Level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lowscotland.sharepoint.com/sites/EastAyrshire/eastayrshirenumhub2017/eanummathshiblyndaktrainingmain2018/Shared%20Documents/White%20Rose%20Summer%20Assessments" TargetMode="External"/><Relationship Id="rId23" Type="http://schemas.openxmlformats.org/officeDocument/2006/relationships/hyperlink" Target="https://glowscotland.sharepoint.com/sites/EastAyrshire/eastayrshirenumhub2017/eanummathshiblyndaktrainingmain2018/Shared%20Documents/CA%20Training/EA%20Numeracy%20Assessment%20guidance.mp4" TargetMode="External"/><Relationship Id="rId28" Type="http://schemas.openxmlformats.org/officeDocument/2006/relationships/hyperlink" Target="https://www.openmiddle.com/" TargetMode="External"/><Relationship Id="rId10" Type="http://schemas.openxmlformats.org/officeDocument/2006/relationships/hyperlink" Target="https://glowscotland.sharepoint.com/sites/EastAyrshire/eaglowcentralsitemain2019/easacglowcentralmain2019/eanummathsresourcessitemain2019/Shared%20Documents/Numeracy%20Assessment%20Toolkit%20First%20Level" TargetMode="External"/><Relationship Id="rId19" Type="http://schemas.openxmlformats.org/officeDocument/2006/relationships/hyperlink" Target="https://www.ncetm.org.uk/classroom-resources/assessment-materials-primary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lowscotland.sharepoint.com/sites/EastAyrshire/eastayrshirenumhub2017/eanummathshiblyndaktrainingmain2018/Shared%20Documents/GATHERING%20EVIDENCE%20-%20children.dms.docx?d=w9c8c1641cc3549c4bf2d8d02693f3ba2" TargetMode="External"/><Relationship Id="rId14" Type="http://schemas.openxmlformats.org/officeDocument/2006/relationships/hyperlink" Target="https://glowscotland.sharepoint.com/sites/EastAyrshire/eastayrshirenumhub2017/eanummathshiblyndaktrainingmain2018/Shared%20Documents/White%20Rose%20Spring%20Assessments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transum.org/software/" TargetMode="External"/><Relationship Id="rId30" Type="http://schemas.openxmlformats.org/officeDocument/2006/relationships/hyperlink" Target="https://blogs.glowscotland.org.uk/ea/assessmentandmoderation2020/category/session-3-developing-high-quality-assessments/" TargetMode="External"/><Relationship Id="rId8" Type="http://schemas.openxmlformats.org/officeDocument/2006/relationships/hyperlink" Target="https://blogs.glowscotland.org.uk/ea/numeracyandmathematics/category/number-talks-and-spla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McCallum, Robert</dc:creator>
  <cp:keywords/>
  <dc:description/>
  <cp:lastModifiedBy>McCallum, Robert</cp:lastModifiedBy>
  <cp:revision>13</cp:revision>
  <dcterms:created xsi:type="dcterms:W3CDTF">2021-03-02T16:47:00Z</dcterms:created>
  <dcterms:modified xsi:type="dcterms:W3CDTF">2021-03-15T15:24:00Z</dcterms:modified>
</cp:coreProperties>
</file>