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539" w:rsidRPr="00361539" w:rsidRDefault="00361539" w:rsidP="00361539">
      <w:pPr>
        <w:spacing w:after="150" w:line="240" w:lineRule="auto"/>
        <w:textAlignment w:val="baseline"/>
        <w:outlineLvl w:val="0"/>
        <w:rPr>
          <w:rFonts w:ascii="Arial" w:eastAsia="Times New Roman" w:hAnsi="Arial" w:cs="Arial"/>
          <w:b/>
          <w:bCs/>
          <w:color w:val="040F1E"/>
          <w:kern w:val="36"/>
          <w:sz w:val="32"/>
          <w:szCs w:val="32"/>
          <w:lang w:eastAsia="en-GB"/>
        </w:rPr>
      </w:pPr>
      <w:r w:rsidRPr="00361539">
        <w:rPr>
          <w:rFonts w:ascii="Arial" w:eastAsia="Times New Roman" w:hAnsi="Arial" w:cs="Arial"/>
          <w:b/>
          <w:bCs/>
          <w:color w:val="040F1E"/>
          <w:kern w:val="36"/>
          <w:sz w:val="32"/>
          <w:szCs w:val="32"/>
          <w:lang w:eastAsia="en-GB"/>
        </w:rPr>
        <w:t>Duty of Candour Report 2024</w:t>
      </w:r>
    </w:p>
    <w:p w:rsidR="00361539" w:rsidRPr="00361539" w:rsidRDefault="00361539" w:rsidP="00361539">
      <w:pPr>
        <w:spacing w:before="150" w:after="150" w:line="360" w:lineRule="atLeast"/>
        <w:textAlignment w:val="baseline"/>
        <w:rPr>
          <w:rFonts w:ascii="Arial" w:eastAsia="Times New Roman" w:hAnsi="Arial" w:cs="Arial"/>
          <w:b/>
          <w:bCs/>
          <w:color w:val="040F1E"/>
          <w:sz w:val="21"/>
          <w:szCs w:val="21"/>
          <w:lang w:eastAsia="en-GB"/>
        </w:rPr>
      </w:pPr>
      <w:r w:rsidRPr="00361539">
        <w:rPr>
          <w:rFonts w:ascii="Arial" w:eastAsia="Times New Roman" w:hAnsi="Arial" w:cs="Arial"/>
          <w:b/>
          <w:bCs/>
          <w:color w:val="040F1E"/>
          <w:sz w:val="21"/>
          <w:szCs w:val="21"/>
          <w:lang w:eastAsia="en-GB"/>
        </w:rPr>
        <w:t>All health and social care services in Scotland have a duty of candour. This is a legal requirement which means that when things go wrong, the people affected understand what has happened, receive an apology, and that organisations learn how to improve for the future.</w:t>
      </w:r>
    </w:p>
    <w:p w:rsidR="00361539" w:rsidRPr="00361539" w:rsidRDefault="00361539" w:rsidP="00361539">
      <w:pPr>
        <w:spacing w:before="210" w:after="210" w:line="360" w:lineRule="atLeast"/>
        <w:textAlignment w:val="baseline"/>
        <w:rPr>
          <w:rFonts w:ascii="Arial" w:eastAsia="Times New Roman" w:hAnsi="Arial" w:cs="Arial"/>
          <w:color w:val="333333"/>
          <w:sz w:val="21"/>
          <w:szCs w:val="21"/>
          <w:lang w:eastAsia="en-GB"/>
        </w:rPr>
      </w:pPr>
      <w:r w:rsidRPr="00361539">
        <w:rPr>
          <w:rFonts w:ascii="Arial" w:eastAsia="Times New Roman" w:hAnsi="Arial" w:cs="Arial"/>
          <w:color w:val="333333"/>
          <w:sz w:val="21"/>
          <w:szCs w:val="21"/>
          <w:lang w:eastAsia="en-GB"/>
        </w:rPr>
        <w:t>Part of this duty is for organisations to provide an annual report about the duty of candour.  This report describes how the nurseries operating within Dumfries and Galloway Council discharged this duty between 1 April 2023 and 31 March 2024.</w:t>
      </w:r>
    </w:p>
    <w:p w:rsidR="00361539" w:rsidRPr="00361539" w:rsidRDefault="00361539" w:rsidP="00361539">
      <w:pPr>
        <w:spacing w:after="0" w:line="360" w:lineRule="atLeast"/>
        <w:textAlignment w:val="baseline"/>
        <w:rPr>
          <w:rFonts w:ascii="Arial" w:eastAsia="Times New Roman" w:hAnsi="Arial" w:cs="Arial"/>
          <w:color w:val="333333"/>
          <w:sz w:val="21"/>
          <w:szCs w:val="21"/>
          <w:lang w:eastAsia="en-GB"/>
        </w:rPr>
      </w:pPr>
      <w:r w:rsidRPr="00361539">
        <w:rPr>
          <w:rFonts w:ascii="Arial" w:eastAsia="Times New Roman" w:hAnsi="Arial" w:cs="Arial"/>
          <w:b/>
          <w:bCs/>
          <w:color w:val="333333"/>
          <w:sz w:val="21"/>
          <w:szCs w:val="21"/>
          <w:bdr w:val="none" w:sz="0" w:space="0" w:color="auto" w:frame="1"/>
          <w:lang w:eastAsia="en-GB"/>
        </w:rPr>
        <w:t>1.   </w:t>
      </w:r>
      <w:proofErr w:type="gramStart"/>
      <w:r w:rsidRPr="00361539">
        <w:rPr>
          <w:rFonts w:ascii="Arial" w:eastAsia="Times New Roman" w:hAnsi="Arial" w:cs="Arial"/>
          <w:b/>
          <w:bCs/>
          <w:color w:val="333333"/>
          <w:sz w:val="21"/>
          <w:szCs w:val="21"/>
          <w:bdr w:val="none" w:sz="0" w:space="0" w:color="auto" w:frame="1"/>
          <w:lang w:eastAsia="en-GB"/>
        </w:rPr>
        <w:t>About</w:t>
      </w:r>
      <w:proofErr w:type="gramEnd"/>
      <w:r w:rsidRPr="00361539">
        <w:rPr>
          <w:rFonts w:ascii="Arial" w:eastAsia="Times New Roman" w:hAnsi="Arial" w:cs="Arial"/>
          <w:b/>
          <w:bCs/>
          <w:color w:val="333333"/>
          <w:sz w:val="21"/>
          <w:szCs w:val="21"/>
          <w:bdr w:val="none" w:sz="0" w:space="0" w:color="auto" w:frame="1"/>
          <w:lang w:eastAsia="en-GB"/>
        </w:rPr>
        <w:t xml:space="preserve"> Council Nursery Services</w:t>
      </w:r>
    </w:p>
    <w:p w:rsidR="00361539" w:rsidRPr="00361539" w:rsidRDefault="00361539" w:rsidP="00361539">
      <w:pPr>
        <w:spacing w:before="210" w:after="210" w:line="360" w:lineRule="atLeast"/>
        <w:textAlignment w:val="baseline"/>
        <w:rPr>
          <w:rFonts w:ascii="Arial" w:eastAsia="Times New Roman" w:hAnsi="Arial" w:cs="Arial"/>
          <w:color w:val="333333"/>
          <w:sz w:val="21"/>
          <w:szCs w:val="21"/>
          <w:lang w:eastAsia="en-GB"/>
        </w:rPr>
      </w:pPr>
      <w:r w:rsidRPr="00361539">
        <w:rPr>
          <w:rFonts w:ascii="Arial" w:eastAsia="Times New Roman" w:hAnsi="Arial" w:cs="Arial"/>
          <w:color w:val="333333"/>
          <w:sz w:val="21"/>
          <w:szCs w:val="21"/>
          <w:lang w:eastAsia="en-GB"/>
        </w:rPr>
        <w:t>The Council provides nursery education to approximately 1800 pupils at 45 nurseries across Dumfries and Galloway.  The Council aims to provide a nursery education that enables children to grow and develop in a caring environment.</w:t>
      </w:r>
    </w:p>
    <w:p w:rsidR="00361539" w:rsidRPr="00361539" w:rsidRDefault="00361539" w:rsidP="00361539">
      <w:pPr>
        <w:spacing w:after="0" w:line="360" w:lineRule="atLeast"/>
        <w:textAlignment w:val="baseline"/>
        <w:rPr>
          <w:rFonts w:ascii="Arial" w:eastAsia="Times New Roman" w:hAnsi="Arial" w:cs="Arial"/>
          <w:color w:val="333333"/>
          <w:sz w:val="21"/>
          <w:szCs w:val="21"/>
          <w:lang w:eastAsia="en-GB"/>
        </w:rPr>
      </w:pPr>
      <w:r w:rsidRPr="00361539">
        <w:rPr>
          <w:rFonts w:ascii="Arial" w:eastAsia="Times New Roman" w:hAnsi="Arial" w:cs="Arial"/>
          <w:b/>
          <w:bCs/>
          <w:color w:val="333333"/>
          <w:sz w:val="21"/>
          <w:szCs w:val="21"/>
          <w:bdr w:val="none" w:sz="0" w:space="0" w:color="auto" w:frame="1"/>
          <w:lang w:eastAsia="en-GB"/>
        </w:rPr>
        <w:t>2.   How many incidents happened to which the duty of candour applies?</w:t>
      </w:r>
    </w:p>
    <w:p w:rsidR="00361539" w:rsidRPr="00361539" w:rsidRDefault="00361539" w:rsidP="00361539">
      <w:pPr>
        <w:spacing w:before="210" w:after="210" w:line="360" w:lineRule="atLeast"/>
        <w:textAlignment w:val="baseline"/>
        <w:rPr>
          <w:rFonts w:ascii="Arial" w:eastAsia="Times New Roman" w:hAnsi="Arial" w:cs="Arial"/>
          <w:color w:val="333333"/>
          <w:sz w:val="21"/>
          <w:szCs w:val="21"/>
          <w:lang w:eastAsia="en-GB"/>
        </w:rPr>
      </w:pPr>
      <w:r w:rsidRPr="00361539">
        <w:rPr>
          <w:rFonts w:ascii="Arial" w:eastAsia="Times New Roman" w:hAnsi="Arial" w:cs="Arial"/>
          <w:color w:val="333333"/>
          <w:sz w:val="21"/>
          <w:szCs w:val="21"/>
          <w:lang w:eastAsia="en-GB"/>
        </w:rPr>
        <w:t>In the last year, there was one incident to which the duty of candour applied where a pupil fell and injured themselves during an outdoor play incident and required medical treatment. </w:t>
      </w:r>
    </w:p>
    <w:tbl>
      <w:tblPr>
        <w:tblW w:w="0" w:type="auto"/>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Pr>
      <w:tblGrid>
        <w:gridCol w:w="6362"/>
        <w:gridCol w:w="2648"/>
      </w:tblGrid>
      <w:tr w:rsidR="00361539" w:rsidRPr="00361539" w:rsidTr="00361539">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after="0" w:line="360" w:lineRule="atLeast"/>
              <w:textAlignment w:val="baseline"/>
              <w:rPr>
                <w:rFonts w:ascii="Arial" w:eastAsia="Times New Roman" w:hAnsi="Arial" w:cs="Arial"/>
                <w:sz w:val="18"/>
                <w:szCs w:val="18"/>
                <w:lang w:eastAsia="en-GB"/>
              </w:rPr>
            </w:pPr>
            <w:r w:rsidRPr="00361539">
              <w:rPr>
                <w:rFonts w:ascii="Arial" w:eastAsia="Times New Roman" w:hAnsi="Arial" w:cs="Arial"/>
                <w:b/>
                <w:bCs/>
                <w:sz w:val="18"/>
                <w:szCs w:val="18"/>
                <w:bdr w:val="none" w:sz="0" w:space="0" w:color="auto" w:frame="1"/>
                <w:lang w:eastAsia="en-GB"/>
              </w:rPr>
              <w:t>Type of unexpected or unintended incident</w:t>
            </w:r>
          </w:p>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t> </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after="0" w:line="360" w:lineRule="atLeast"/>
              <w:textAlignment w:val="baseline"/>
              <w:rPr>
                <w:rFonts w:ascii="Arial" w:eastAsia="Times New Roman" w:hAnsi="Arial" w:cs="Arial"/>
                <w:sz w:val="18"/>
                <w:szCs w:val="18"/>
                <w:lang w:eastAsia="en-GB"/>
              </w:rPr>
            </w:pPr>
            <w:r w:rsidRPr="00361539">
              <w:rPr>
                <w:rFonts w:ascii="Arial" w:eastAsia="Times New Roman" w:hAnsi="Arial" w:cs="Arial"/>
                <w:b/>
                <w:bCs/>
                <w:sz w:val="18"/>
                <w:szCs w:val="18"/>
                <w:bdr w:val="none" w:sz="0" w:space="0" w:color="auto" w:frame="1"/>
                <w:lang w:eastAsia="en-GB"/>
              </w:rPr>
              <w:t>Number of times this happened</w:t>
            </w:r>
          </w:p>
        </w:tc>
      </w:tr>
      <w:tr w:rsidR="00361539" w:rsidRPr="00361539" w:rsidTr="00361539">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t>Someone has died</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t>Zero</w:t>
            </w:r>
          </w:p>
        </w:tc>
      </w:tr>
      <w:tr w:rsidR="00361539" w:rsidRPr="00361539" w:rsidTr="00361539">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t>Someone has permanently less bodily, sensory, motor, physiologic or intellectual functions</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t>Zero</w:t>
            </w:r>
          </w:p>
        </w:tc>
      </w:tr>
      <w:tr w:rsidR="00361539" w:rsidRPr="00361539" w:rsidTr="00361539">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t>Someone's treatment has increased because of harm</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t>Zero</w:t>
            </w:r>
          </w:p>
        </w:tc>
      </w:tr>
      <w:tr w:rsidR="00361539" w:rsidRPr="00361539" w:rsidTr="00361539">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t>The structure of someone's body changes because of harm</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t>Zero</w:t>
            </w:r>
          </w:p>
        </w:tc>
      </w:tr>
      <w:tr w:rsidR="00361539" w:rsidRPr="00361539" w:rsidTr="00361539">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lastRenderedPageBreak/>
              <w:t>Someone's life expectancy becomes shorter because of harm</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t>Zero</w:t>
            </w:r>
          </w:p>
        </w:tc>
      </w:tr>
      <w:tr w:rsidR="00361539" w:rsidRPr="00361539" w:rsidTr="00361539">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t>Someone's sensory, motor or intellectual functions is impaired for 28 days or more     </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t>Zero</w:t>
            </w:r>
          </w:p>
        </w:tc>
      </w:tr>
      <w:tr w:rsidR="00361539" w:rsidRPr="00361539" w:rsidTr="00361539">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t>Someone experienced pain or psychological harm for 28 days or more</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t>Zero</w:t>
            </w:r>
          </w:p>
        </w:tc>
      </w:tr>
      <w:tr w:rsidR="00361539" w:rsidRPr="00361539" w:rsidTr="00361539">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t>A person needed health treatment in order to prevent them dying</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t>Zero</w:t>
            </w:r>
          </w:p>
        </w:tc>
      </w:tr>
      <w:tr w:rsidR="00361539" w:rsidRPr="00361539" w:rsidTr="00361539">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t>A person needed health treatment for an injury received</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61539" w:rsidRPr="00361539" w:rsidRDefault="00361539" w:rsidP="00361539">
            <w:pPr>
              <w:spacing w:before="210" w:after="210" w:line="360" w:lineRule="atLeast"/>
              <w:textAlignment w:val="baseline"/>
              <w:rPr>
                <w:rFonts w:ascii="Arial" w:eastAsia="Times New Roman" w:hAnsi="Arial" w:cs="Arial"/>
                <w:sz w:val="18"/>
                <w:szCs w:val="18"/>
                <w:lang w:eastAsia="en-GB"/>
              </w:rPr>
            </w:pPr>
            <w:r w:rsidRPr="00361539">
              <w:rPr>
                <w:rFonts w:ascii="Arial" w:eastAsia="Times New Roman" w:hAnsi="Arial" w:cs="Arial"/>
                <w:sz w:val="18"/>
                <w:szCs w:val="18"/>
                <w:lang w:eastAsia="en-GB"/>
              </w:rPr>
              <w:t>Once</w:t>
            </w:r>
          </w:p>
        </w:tc>
      </w:tr>
    </w:tbl>
    <w:p w:rsidR="00361539" w:rsidRPr="00361539" w:rsidRDefault="00361539" w:rsidP="00361539">
      <w:pPr>
        <w:spacing w:after="0" w:line="360" w:lineRule="atLeast"/>
        <w:textAlignment w:val="baseline"/>
        <w:rPr>
          <w:rFonts w:ascii="Arial" w:eastAsia="Times New Roman" w:hAnsi="Arial" w:cs="Arial"/>
          <w:color w:val="333333"/>
          <w:sz w:val="21"/>
          <w:szCs w:val="21"/>
          <w:lang w:eastAsia="en-GB"/>
        </w:rPr>
      </w:pPr>
      <w:r w:rsidRPr="00361539">
        <w:rPr>
          <w:rFonts w:ascii="Arial" w:eastAsia="Times New Roman" w:hAnsi="Arial" w:cs="Arial"/>
          <w:b/>
          <w:bCs/>
          <w:color w:val="333333"/>
          <w:sz w:val="21"/>
          <w:szCs w:val="21"/>
          <w:bdr w:val="none" w:sz="0" w:space="0" w:color="auto" w:frame="1"/>
          <w:lang w:eastAsia="en-GB"/>
        </w:rPr>
        <w:t xml:space="preserve">3. To what Extent did the Service follow the Duty of </w:t>
      </w:r>
      <w:proofErr w:type="gramStart"/>
      <w:r w:rsidRPr="00361539">
        <w:rPr>
          <w:rFonts w:ascii="Arial" w:eastAsia="Times New Roman" w:hAnsi="Arial" w:cs="Arial"/>
          <w:b/>
          <w:bCs/>
          <w:color w:val="333333"/>
          <w:sz w:val="21"/>
          <w:szCs w:val="21"/>
          <w:bdr w:val="none" w:sz="0" w:space="0" w:color="auto" w:frame="1"/>
          <w:lang w:eastAsia="en-GB"/>
        </w:rPr>
        <w:t>Candour</w:t>
      </w:r>
      <w:proofErr w:type="gramEnd"/>
    </w:p>
    <w:p w:rsidR="00361539" w:rsidRPr="00361539" w:rsidRDefault="00361539" w:rsidP="00361539">
      <w:pPr>
        <w:spacing w:before="210" w:after="210" w:line="360" w:lineRule="atLeast"/>
        <w:textAlignment w:val="baseline"/>
        <w:rPr>
          <w:rFonts w:ascii="Arial" w:eastAsia="Times New Roman" w:hAnsi="Arial" w:cs="Arial"/>
          <w:color w:val="333333"/>
          <w:sz w:val="21"/>
          <w:szCs w:val="21"/>
          <w:lang w:eastAsia="en-GB"/>
        </w:rPr>
      </w:pPr>
      <w:r w:rsidRPr="00361539">
        <w:rPr>
          <w:rFonts w:ascii="Arial" w:eastAsia="Times New Roman" w:hAnsi="Arial" w:cs="Arial"/>
          <w:color w:val="333333"/>
          <w:sz w:val="21"/>
          <w:szCs w:val="21"/>
          <w:lang w:eastAsia="en-GB"/>
        </w:rPr>
        <w:t>The school which the nursery is part of followed the correct procedure and informed the pupil's parents, apologised and offered to meet with them to discuss the circumstances, answer any questions and take into account their views in the school's review to try to prevent a similar accident happening in the future. </w:t>
      </w:r>
    </w:p>
    <w:p w:rsidR="00361539" w:rsidRPr="00361539" w:rsidRDefault="00361539" w:rsidP="00361539">
      <w:pPr>
        <w:spacing w:after="0" w:line="360" w:lineRule="atLeast"/>
        <w:textAlignment w:val="baseline"/>
        <w:rPr>
          <w:rFonts w:ascii="Arial" w:eastAsia="Times New Roman" w:hAnsi="Arial" w:cs="Arial"/>
          <w:color w:val="333333"/>
          <w:sz w:val="21"/>
          <w:szCs w:val="21"/>
          <w:lang w:eastAsia="en-GB"/>
        </w:rPr>
      </w:pPr>
      <w:r w:rsidRPr="00361539">
        <w:rPr>
          <w:rFonts w:ascii="Arial" w:eastAsia="Times New Roman" w:hAnsi="Arial" w:cs="Arial"/>
          <w:b/>
          <w:bCs/>
          <w:color w:val="333333"/>
          <w:sz w:val="21"/>
          <w:szCs w:val="21"/>
          <w:bdr w:val="none" w:sz="0" w:space="0" w:color="auto" w:frame="1"/>
          <w:lang w:eastAsia="en-GB"/>
        </w:rPr>
        <w:t>4. Information about our policies and procedures</w:t>
      </w:r>
    </w:p>
    <w:p w:rsidR="00361539" w:rsidRPr="00361539" w:rsidRDefault="00361539" w:rsidP="00361539">
      <w:pPr>
        <w:spacing w:before="210" w:after="210" w:line="360" w:lineRule="atLeast"/>
        <w:textAlignment w:val="baseline"/>
        <w:rPr>
          <w:rFonts w:ascii="Arial" w:eastAsia="Times New Roman" w:hAnsi="Arial" w:cs="Arial"/>
          <w:color w:val="333333"/>
          <w:sz w:val="21"/>
          <w:szCs w:val="21"/>
          <w:lang w:eastAsia="en-GB"/>
        </w:rPr>
      </w:pPr>
      <w:r w:rsidRPr="00361539">
        <w:rPr>
          <w:rFonts w:ascii="Arial" w:eastAsia="Times New Roman" w:hAnsi="Arial" w:cs="Arial"/>
          <w:color w:val="333333"/>
          <w:sz w:val="21"/>
          <w:szCs w:val="21"/>
          <w:lang w:eastAsia="en-GB"/>
        </w:rPr>
        <w:t xml:space="preserve">Where something happens to trigger the duty of candour, nursery staff report this to the nursery manager and </w:t>
      </w:r>
      <w:proofErr w:type="spellStart"/>
      <w:r w:rsidRPr="00361539">
        <w:rPr>
          <w:rFonts w:ascii="Arial" w:eastAsia="Times New Roman" w:hAnsi="Arial" w:cs="Arial"/>
          <w:color w:val="333333"/>
          <w:sz w:val="21"/>
          <w:szCs w:val="21"/>
          <w:lang w:eastAsia="en-GB"/>
        </w:rPr>
        <w:t>headteacher</w:t>
      </w:r>
      <w:proofErr w:type="spellEnd"/>
      <w:r w:rsidRPr="00361539">
        <w:rPr>
          <w:rFonts w:ascii="Arial" w:eastAsia="Times New Roman" w:hAnsi="Arial" w:cs="Arial"/>
          <w:color w:val="333333"/>
          <w:sz w:val="21"/>
          <w:szCs w:val="21"/>
          <w:lang w:eastAsia="en-GB"/>
        </w:rPr>
        <w:t xml:space="preserve"> who are responsible for ensuring that the duty of candour procedure is followed.  The incident is reported to the Care Inspectorate as required and the incident is also reported internally within the Council via the Council's internal incident reporting procedure.  Each incident is investigated by staff at the school to identify root causes and enable remedial actions to be identified to reduce the possibility of similar accidents happening in the future.  The school is able to draw on expertise from specialists such as health and safety advisers and educational specialists in the investigation process to enable lessons to be learned from each incident</w:t>
      </w:r>
    </w:p>
    <w:p w:rsidR="00361539" w:rsidRPr="00361539" w:rsidRDefault="00361539" w:rsidP="00361539">
      <w:pPr>
        <w:spacing w:before="210" w:after="210" w:line="360" w:lineRule="atLeast"/>
        <w:textAlignment w:val="baseline"/>
        <w:rPr>
          <w:rFonts w:ascii="Arial" w:eastAsia="Times New Roman" w:hAnsi="Arial" w:cs="Arial"/>
          <w:color w:val="333333"/>
          <w:sz w:val="21"/>
          <w:szCs w:val="21"/>
          <w:lang w:eastAsia="en-GB"/>
        </w:rPr>
      </w:pPr>
      <w:r w:rsidRPr="00361539">
        <w:rPr>
          <w:rFonts w:ascii="Arial" w:eastAsia="Times New Roman" w:hAnsi="Arial" w:cs="Arial"/>
          <w:color w:val="333333"/>
          <w:sz w:val="21"/>
          <w:szCs w:val="21"/>
          <w:lang w:eastAsia="en-GB"/>
        </w:rPr>
        <w:t>New staff learn about the duty of candour at induction because serious mistakes can be distressing for staff as well as the people who use nursery facilities and their families.  The Council has occupational welfare support in place for staff and they can access this if they ever need support following a duty of candour incident.  The Council also has access to occupational health advice should any be required</w:t>
      </w:r>
    </w:p>
    <w:p w:rsidR="00361539" w:rsidRPr="00361539" w:rsidRDefault="00361539" w:rsidP="00361539">
      <w:pPr>
        <w:spacing w:after="0" w:line="360" w:lineRule="atLeast"/>
        <w:textAlignment w:val="baseline"/>
        <w:rPr>
          <w:rFonts w:ascii="Arial" w:eastAsia="Times New Roman" w:hAnsi="Arial" w:cs="Arial"/>
          <w:color w:val="333333"/>
          <w:sz w:val="21"/>
          <w:szCs w:val="21"/>
          <w:lang w:eastAsia="en-GB"/>
        </w:rPr>
      </w:pPr>
      <w:r w:rsidRPr="00361539">
        <w:rPr>
          <w:rFonts w:ascii="Arial" w:eastAsia="Times New Roman" w:hAnsi="Arial" w:cs="Arial"/>
          <w:b/>
          <w:bCs/>
          <w:color w:val="333333"/>
          <w:sz w:val="21"/>
          <w:szCs w:val="21"/>
          <w:bdr w:val="none" w:sz="0" w:space="0" w:color="auto" w:frame="1"/>
          <w:lang w:eastAsia="en-GB"/>
        </w:rPr>
        <w:lastRenderedPageBreak/>
        <w:t>5. What has changed as a result?</w:t>
      </w:r>
    </w:p>
    <w:p w:rsidR="00361539" w:rsidRPr="00361539" w:rsidRDefault="00361539" w:rsidP="00361539">
      <w:pPr>
        <w:spacing w:before="210" w:after="210" w:line="360" w:lineRule="atLeast"/>
        <w:textAlignment w:val="baseline"/>
        <w:rPr>
          <w:rFonts w:ascii="Arial" w:eastAsia="Times New Roman" w:hAnsi="Arial" w:cs="Arial"/>
          <w:color w:val="333333"/>
          <w:sz w:val="21"/>
          <w:szCs w:val="21"/>
          <w:lang w:eastAsia="en-GB"/>
        </w:rPr>
      </w:pPr>
      <w:r w:rsidRPr="00361539">
        <w:rPr>
          <w:rFonts w:ascii="Arial" w:eastAsia="Times New Roman" w:hAnsi="Arial" w:cs="Arial"/>
          <w:color w:val="333333"/>
          <w:sz w:val="21"/>
          <w:szCs w:val="21"/>
          <w:lang w:eastAsia="en-GB"/>
        </w:rPr>
        <w:t>In the wake of the duty of candour incident the nursery environment and play equipment at the nursery have been reviewed to reduce the possibility of a similar incident happening in the future.</w:t>
      </w:r>
    </w:p>
    <w:p w:rsidR="00361539" w:rsidRPr="00361539" w:rsidRDefault="00361539" w:rsidP="00361539">
      <w:pPr>
        <w:spacing w:after="0" w:line="360" w:lineRule="atLeast"/>
        <w:textAlignment w:val="baseline"/>
        <w:rPr>
          <w:rFonts w:ascii="Arial" w:eastAsia="Times New Roman" w:hAnsi="Arial" w:cs="Arial"/>
          <w:color w:val="333333"/>
          <w:sz w:val="21"/>
          <w:szCs w:val="21"/>
          <w:lang w:eastAsia="en-GB"/>
        </w:rPr>
      </w:pPr>
      <w:r w:rsidRPr="00361539">
        <w:rPr>
          <w:rFonts w:ascii="Arial" w:eastAsia="Times New Roman" w:hAnsi="Arial" w:cs="Arial"/>
          <w:b/>
          <w:bCs/>
          <w:color w:val="333333"/>
          <w:sz w:val="21"/>
          <w:szCs w:val="21"/>
          <w:bdr w:val="none" w:sz="0" w:space="0" w:color="auto" w:frame="1"/>
          <w:lang w:eastAsia="en-GB"/>
        </w:rPr>
        <w:t>6. Other Information</w:t>
      </w:r>
    </w:p>
    <w:p w:rsidR="00361539" w:rsidRPr="00361539" w:rsidRDefault="00361539" w:rsidP="00361539">
      <w:pPr>
        <w:spacing w:before="210" w:after="210" w:line="360" w:lineRule="atLeast"/>
        <w:textAlignment w:val="baseline"/>
        <w:rPr>
          <w:rFonts w:ascii="Arial" w:eastAsia="Times New Roman" w:hAnsi="Arial" w:cs="Arial"/>
          <w:color w:val="333333"/>
          <w:sz w:val="21"/>
          <w:szCs w:val="21"/>
          <w:lang w:eastAsia="en-GB"/>
        </w:rPr>
      </w:pPr>
      <w:r w:rsidRPr="00361539">
        <w:rPr>
          <w:rFonts w:ascii="Arial" w:eastAsia="Times New Roman" w:hAnsi="Arial" w:cs="Arial"/>
          <w:color w:val="333333"/>
          <w:sz w:val="21"/>
          <w:szCs w:val="21"/>
          <w:lang w:eastAsia="en-GB"/>
        </w:rPr>
        <w:t>The duty of Candour provides people who use nursery services with the right to know when things have not gone to plan in a nursery environment.  The Council has published this report on the Council website to be open about our performance in this area.</w:t>
      </w:r>
    </w:p>
    <w:p w:rsidR="00361539" w:rsidRPr="00361539" w:rsidRDefault="00361539" w:rsidP="00361539">
      <w:pPr>
        <w:spacing w:after="0" w:line="240" w:lineRule="auto"/>
        <w:textAlignment w:val="baseline"/>
        <w:rPr>
          <w:rFonts w:ascii="Times New Roman" w:eastAsia="Times New Roman" w:hAnsi="Times New Roman" w:cs="Times New Roman"/>
          <w:color w:val="355C7D"/>
          <w:sz w:val="24"/>
          <w:szCs w:val="24"/>
          <w:bdr w:val="none" w:sz="0" w:space="0" w:color="auto" w:frame="1"/>
          <w:lang w:eastAsia="en-GB"/>
        </w:rPr>
      </w:pPr>
      <w:r w:rsidRPr="00361539">
        <w:rPr>
          <w:rFonts w:ascii="Arial" w:eastAsia="Times New Roman" w:hAnsi="Arial" w:cs="Arial"/>
          <w:color w:val="040F1E"/>
          <w:sz w:val="21"/>
          <w:szCs w:val="21"/>
          <w:lang w:eastAsia="en-GB"/>
        </w:rPr>
        <w:fldChar w:fldCharType="begin"/>
      </w:r>
      <w:r w:rsidRPr="00361539">
        <w:rPr>
          <w:rFonts w:ascii="Arial" w:eastAsia="Times New Roman" w:hAnsi="Arial" w:cs="Arial"/>
          <w:color w:val="040F1E"/>
          <w:sz w:val="21"/>
          <w:szCs w:val="21"/>
          <w:lang w:eastAsia="en-GB"/>
        </w:rPr>
        <w:instrText xml:space="preserve"> HYPERLINK "https://www.dumgal.gov.uk/schools" </w:instrText>
      </w:r>
      <w:r w:rsidRPr="00361539">
        <w:rPr>
          <w:rFonts w:ascii="Arial" w:eastAsia="Times New Roman" w:hAnsi="Arial" w:cs="Arial"/>
          <w:color w:val="040F1E"/>
          <w:sz w:val="21"/>
          <w:szCs w:val="21"/>
          <w:lang w:eastAsia="en-GB"/>
        </w:rPr>
        <w:fldChar w:fldCharType="separate"/>
      </w:r>
    </w:p>
    <w:p w:rsidR="00361539" w:rsidRPr="00361539" w:rsidRDefault="00361539" w:rsidP="00361539">
      <w:pPr>
        <w:pBdr>
          <w:top w:val="single" w:sz="6" w:space="11" w:color="007A33"/>
        </w:pBdr>
        <w:shd w:val="clear" w:color="auto" w:fill="5D285F"/>
        <w:spacing w:after="0" w:line="240" w:lineRule="auto"/>
        <w:jc w:val="center"/>
        <w:textAlignment w:val="baseline"/>
        <w:outlineLvl w:val="1"/>
        <w:rPr>
          <w:rFonts w:ascii="Times New Roman" w:eastAsia="Times New Roman" w:hAnsi="Times New Roman" w:cs="Times New Roman"/>
          <w:b/>
          <w:bCs/>
          <w:color w:val="FFFFFF"/>
          <w:sz w:val="24"/>
          <w:szCs w:val="24"/>
          <w:lang w:eastAsia="en-GB"/>
        </w:rPr>
      </w:pPr>
      <w:r w:rsidRPr="00361539">
        <w:rPr>
          <w:rFonts w:ascii="Arial" w:eastAsia="Times New Roman" w:hAnsi="Arial" w:cs="Arial"/>
          <w:b/>
          <w:bCs/>
          <w:color w:val="FFFFFF"/>
          <w:sz w:val="24"/>
          <w:szCs w:val="24"/>
          <w:bdr w:val="none" w:sz="0" w:space="0" w:color="auto" w:frame="1"/>
          <w:lang w:eastAsia="en-GB"/>
        </w:rPr>
        <w:t>Schools</w:t>
      </w:r>
    </w:p>
    <w:p w:rsidR="00361539" w:rsidRPr="00361539" w:rsidRDefault="00361539" w:rsidP="00361539">
      <w:pPr>
        <w:spacing w:after="0" w:line="240" w:lineRule="auto"/>
        <w:textAlignment w:val="baseline"/>
        <w:rPr>
          <w:rFonts w:ascii="Arial" w:eastAsia="Times New Roman" w:hAnsi="Arial" w:cs="Arial"/>
          <w:color w:val="040F1E"/>
          <w:sz w:val="21"/>
          <w:szCs w:val="21"/>
          <w:lang w:eastAsia="en-GB"/>
        </w:rPr>
      </w:pPr>
      <w:r w:rsidRPr="00361539">
        <w:rPr>
          <w:rFonts w:ascii="Arial" w:eastAsia="Times New Roman" w:hAnsi="Arial" w:cs="Arial"/>
          <w:color w:val="040F1E"/>
          <w:sz w:val="21"/>
          <w:szCs w:val="21"/>
          <w:lang w:eastAsia="en-GB"/>
        </w:rPr>
        <w:fldChar w:fldCharType="end"/>
      </w:r>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5" w:history="1">
        <w:r w:rsidRPr="00361539">
          <w:rPr>
            <w:rFonts w:ascii="Arial" w:eastAsia="Times New Roman" w:hAnsi="Arial" w:cs="Arial"/>
            <w:b/>
            <w:bCs/>
            <w:color w:val="000000"/>
            <w:sz w:val="21"/>
            <w:szCs w:val="21"/>
            <w:bdr w:val="none" w:sz="0" w:space="0" w:color="auto" w:frame="1"/>
            <w:lang w:eastAsia="en-GB"/>
          </w:rPr>
          <w:t>Primary schools</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6" w:history="1">
        <w:r w:rsidRPr="00361539">
          <w:rPr>
            <w:rFonts w:ascii="Arial" w:eastAsia="Times New Roman" w:hAnsi="Arial" w:cs="Arial"/>
            <w:b/>
            <w:bCs/>
            <w:color w:val="000000"/>
            <w:sz w:val="21"/>
            <w:szCs w:val="21"/>
            <w:bdr w:val="none" w:sz="0" w:space="0" w:color="auto" w:frame="1"/>
            <w:lang w:eastAsia="en-GB"/>
          </w:rPr>
          <w:t>Secondary schools</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7" w:history="1">
        <w:r w:rsidRPr="00361539">
          <w:rPr>
            <w:rFonts w:ascii="Arial" w:eastAsia="Times New Roman" w:hAnsi="Arial" w:cs="Arial"/>
            <w:b/>
            <w:bCs/>
            <w:color w:val="000000"/>
            <w:sz w:val="21"/>
            <w:szCs w:val="21"/>
            <w:bdr w:val="none" w:sz="0" w:space="0" w:color="auto" w:frame="1"/>
            <w:lang w:eastAsia="en-GB"/>
          </w:rPr>
          <w:t>School term and holiday dates</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8" w:history="1">
        <w:r w:rsidRPr="00361539">
          <w:rPr>
            <w:rFonts w:ascii="Arial" w:eastAsia="Times New Roman" w:hAnsi="Arial" w:cs="Arial"/>
            <w:b/>
            <w:bCs/>
            <w:color w:val="000000"/>
            <w:sz w:val="21"/>
            <w:szCs w:val="21"/>
            <w:bdr w:val="none" w:sz="0" w:space="0" w:color="auto" w:frame="1"/>
            <w:lang w:eastAsia="en-GB"/>
          </w:rPr>
          <w:t>Early learning and childcare</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9" w:history="1">
        <w:r w:rsidRPr="00361539">
          <w:rPr>
            <w:rFonts w:ascii="Arial" w:eastAsia="Times New Roman" w:hAnsi="Arial" w:cs="Arial"/>
            <w:b/>
            <w:bCs/>
            <w:color w:val="000000"/>
            <w:sz w:val="21"/>
            <w:szCs w:val="21"/>
            <w:bdr w:val="none" w:sz="0" w:space="0" w:color="auto" w:frame="1"/>
            <w:lang w:eastAsia="en-GB"/>
          </w:rPr>
          <w:t>School meals</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10" w:history="1">
        <w:r w:rsidRPr="00361539">
          <w:rPr>
            <w:rFonts w:ascii="Arial" w:eastAsia="Times New Roman" w:hAnsi="Arial" w:cs="Arial"/>
            <w:b/>
            <w:bCs/>
            <w:color w:val="000000"/>
            <w:sz w:val="21"/>
            <w:szCs w:val="21"/>
            <w:bdr w:val="none" w:sz="0" w:space="0" w:color="auto" w:frame="1"/>
            <w:lang w:eastAsia="en-GB"/>
          </w:rPr>
          <w:t>Support for Learners</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11" w:history="1">
        <w:r w:rsidRPr="00361539">
          <w:rPr>
            <w:rFonts w:ascii="Arial" w:eastAsia="Times New Roman" w:hAnsi="Arial" w:cs="Arial"/>
            <w:b/>
            <w:bCs/>
            <w:color w:val="000000"/>
            <w:sz w:val="21"/>
            <w:szCs w:val="21"/>
            <w:bdr w:val="none" w:sz="0" w:space="0" w:color="auto" w:frame="1"/>
            <w:lang w:eastAsia="en-GB"/>
          </w:rPr>
          <w:t>Financial support for education</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12" w:history="1">
        <w:r w:rsidRPr="00361539">
          <w:rPr>
            <w:rFonts w:ascii="Arial" w:eastAsia="Times New Roman" w:hAnsi="Arial" w:cs="Arial"/>
            <w:b/>
            <w:bCs/>
            <w:color w:val="000000"/>
            <w:sz w:val="21"/>
            <w:szCs w:val="21"/>
            <w:bdr w:val="none" w:sz="0" w:space="0" w:color="auto" w:frame="1"/>
            <w:lang w:eastAsia="en-GB"/>
          </w:rPr>
          <w:t>Employment of children</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13" w:history="1">
        <w:r w:rsidRPr="00361539">
          <w:rPr>
            <w:rFonts w:ascii="Arial" w:eastAsia="Times New Roman" w:hAnsi="Arial" w:cs="Arial"/>
            <w:b/>
            <w:bCs/>
            <w:color w:val="000000"/>
            <w:sz w:val="21"/>
            <w:szCs w:val="21"/>
            <w:bdr w:val="none" w:sz="0" w:space="0" w:color="auto" w:frame="1"/>
            <w:lang w:eastAsia="en-GB"/>
          </w:rPr>
          <w:t>School places</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14" w:history="1">
        <w:r w:rsidRPr="00361539">
          <w:rPr>
            <w:rFonts w:ascii="Arial" w:eastAsia="Times New Roman" w:hAnsi="Arial" w:cs="Arial"/>
            <w:b/>
            <w:bCs/>
            <w:color w:val="000000"/>
            <w:sz w:val="21"/>
            <w:szCs w:val="21"/>
            <w:bdr w:val="none" w:sz="0" w:space="0" w:color="auto" w:frame="1"/>
            <w:lang w:eastAsia="en-GB"/>
          </w:rPr>
          <w:t>P7 Transitions to Secondary</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15" w:history="1">
        <w:r w:rsidRPr="00361539">
          <w:rPr>
            <w:rFonts w:ascii="Arial" w:eastAsia="Times New Roman" w:hAnsi="Arial" w:cs="Arial"/>
            <w:b/>
            <w:bCs/>
            <w:color w:val="000000"/>
            <w:sz w:val="21"/>
            <w:szCs w:val="21"/>
            <w:bdr w:val="none" w:sz="0" w:space="0" w:color="auto" w:frame="1"/>
            <w:lang w:eastAsia="en-GB"/>
          </w:rPr>
          <w:t>Hire school facilities</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16" w:history="1">
        <w:r w:rsidRPr="00361539">
          <w:rPr>
            <w:rFonts w:ascii="Arial" w:eastAsia="Times New Roman" w:hAnsi="Arial" w:cs="Arial"/>
            <w:b/>
            <w:bCs/>
            <w:color w:val="000000"/>
            <w:sz w:val="21"/>
            <w:szCs w:val="21"/>
            <w:bdr w:val="none" w:sz="0" w:space="0" w:color="auto" w:frame="1"/>
            <w:lang w:eastAsia="en-GB"/>
          </w:rPr>
          <w:t>Education Authority</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17" w:history="1">
        <w:r w:rsidRPr="00361539">
          <w:rPr>
            <w:rFonts w:ascii="Arial" w:eastAsia="Times New Roman" w:hAnsi="Arial" w:cs="Arial"/>
            <w:b/>
            <w:bCs/>
            <w:color w:val="000000"/>
            <w:sz w:val="21"/>
            <w:szCs w:val="21"/>
            <w:bdr w:val="none" w:sz="0" w:space="0" w:color="auto" w:frame="1"/>
            <w:lang w:eastAsia="en-GB"/>
          </w:rPr>
          <w:t>Dumfries Learning Town</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18" w:history="1">
        <w:r w:rsidRPr="00361539">
          <w:rPr>
            <w:rFonts w:ascii="Arial" w:eastAsia="Times New Roman" w:hAnsi="Arial" w:cs="Arial"/>
            <w:b/>
            <w:bCs/>
            <w:color w:val="000000"/>
            <w:sz w:val="21"/>
            <w:szCs w:val="21"/>
            <w:bdr w:val="none" w:sz="0" w:space="0" w:color="auto" w:frame="1"/>
            <w:lang w:eastAsia="en-GB"/>
          </w:rPr>
          <w:t>The Bridge</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19" w:history="1">
        <w:r w:rsidRPr="00361539">
          <w:rPr>
            <w:rFonts w:ascii="Arial" w:eastAsia="Times New Roman" w:hAnsi="Arial" w:cs="Arial"/>
            <w:b/>
            <w:bCs/>
            <w:color w:val="000000"/>
            <w:sz w:val="21"/>
            <w:szCs w:val="21"/>
            <w:bdr w:val="none" w:sz="0" w:space="0" w:color="auto" w:frame="1"/>
            <w:lang w:eastAsia="en-GB"/>
          </w:rPr>
          <w:t>Home Education</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20" w:history="1">
        <w:r w:rsidRPr="00361539">
          <w:rPr>
            <w:rFonts w:ascii="Arial" w:eastAsia="Times New Roman" w:hAnsi="Arial" w:cs="Arial"/>
            <w:b/>
            <w:bCs/>
            <w:color w:val="000000"/>
            <w:sz w:val="21"/>
            <w:szCs w:val="21"/>
            <w:bdr w:val="none" w:sz="0" w:space="0" w:color="auto" w:frame="1"/>
            <w:lang w:eastAsia="en-GB"/>
          </w:rPr>
          <w:t>Parent Councils</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21" w:history="1">
        <w:r w:rsidRPr="00361539">
          <w:rPr>
            <w:rFonts w:ascii="Arial" w:eastAsia="Times New Roman" w:hAnsi="Arial" w:cs="Arial"/>
            <w:b/>
            <w:bCs/>
            <w:color w:val="000000"/>
            <w:sz w:val="21"/>
            <w:szCs w:val="21"/>
            <w:bdr w:val="none" w:sz="0" w:space="0" w:color="auto" w:frame="1"/>
            <w:lang w:eastAsia="en-GB"/>
          </w:rPr>
          <w:t>Parental Involvement and Engagement (PIE)</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22" w:history="1">
        <w:r w:rsidRPr="00361539">
          <w:rPr>
            <w:rFonts w:ascii="Arial" w:eastAsia="Times New Roman" w:hAnsi="Arial" w:cs="Arial"/>
            <w:b/>
            <w:bCs/>
            <w:color w:val="000000"/>
            <w:sz w:val="21"/>
            <w:szCs w:val="21"/>
            <w:bdr w:val="none" w:sz="0" w:space="0" w:color="auto" w:frame="1"/>
            <w:lang w:eastAsia="en-GB"/>
          </w:rPr>
          <w:t>Education Authority Annual Plan</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23" w:history="1">
        <w:r w:rsidRPr="00361539">
          <w:rPr>
            <w:rFonts w:ascii="Arial" w:eastAsia="Times New Roman" w:hAnsi="Arial" w:cs="Arial"/>
            <w:b/>
            <w:bCs/>
            <w:color w:val="000000"/>
            <w:sz w:val="21"/>
            <w:szCs w:val="21"/>
            <w:bdr w:val="none" w:sz="0" w:space="0" w:color="auto" w:frame="1"/>
            <w:lang w:eastAsia="en-GB"/>
          </w:rPr>
          <w:t>Public performances by children</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24" w:history="1">
        <w:r w:rsidRPr="00361539">
          <w:rPr>
            <w:rFonts w:ascii="Arial" w:eastAsia="Times New Roman" w:hAnsi="Arial" w:cs="Arial"/>
            <w:b/>
            <w:bCs/>
            <w:color w:val="000000"/>
            <w:sz w:val="21"/>
            <w:szCs w:val="21"/>
            <w:bdr w:val="none" w:sz="0" w:space="0" w:color="auto" w:frame="1"/>
            <w:lang w:eastAsia="en-GB"/>
          </w:rPr>
          <w:t>Instrumental Music Tuition</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25" w:history="1">
        <w:r w:rsidRPr="00361539">
          <w:rPr>
            <w:rFonts w:ascii="Arial" w:eastAsia="Times New Roman" w:hAnsi="Arial" w:cs="Arial"/>
            <w:b/>
            <w:bCs/>
            <w:color w:val="000000"/>
            <w:sz w:val="21"/>
            <w:szCs w:val="21"/>
            <w:bdr w:val="none" w:sz="0" w:space="0" w:color="auto" w:frame="1"/>
            <w:lang w:eastAsia="en-GB"/>
          </w:rPr>
          <w:t>Youth Music Initiative</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26" w:history="1">
        <w:r w:rsidRPr="00361539">
          <w:rPr>
            <w:rFonts w:ascii="Arial" w:eastAsia="Times New Roman" w:hAnsi="Arial" w:cs="Arial"/>
            <w:b/>
            <w:bCs/>
            <w:color w:val="000000"/>
            <w:sz w:val="21"/>
            <w:szCs w:val="21"/>
            <w:bdr w:val="none" w:sz="0" w:space="0" w:color="auto" w:frame="1"/>
            <w:lang w:eastAsia="en-GB"/>
          </w:rPr>
          <w:t>South West Education Improvement Collaborative</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27" w:history="1">
        <w:r w:rsidRPr="00361539">
          <w:rPr>
            <w:rFonts w:ascii="Arial" w:eastAsia="Times New Roman" w:hAnsi="Arial" w:cs="Arial"/>
            <w:b/>
            <w:bCs/>
            <w:color w:val="000000"/>
            <w:sz w:val="21"/>
            <w:szCs w:val="21"/>
            <w:bdr w:val="none" w:sz="0" w:space="0" w:color="auto" w:frame="1"/>
            <w:lang w:eastAsia="en-GB"/>
          </w:rPr>
          <w:t>Educational Psychology Service</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28" w:history="1">
        <w:r w:rsidRPr="00361539">
          <w:rPr>
            <w:rFonts w:ascii="Arial" w:eastAsia="Times New Roman" w:hAnsi="Arial" w:cs="Arial"/>
            <w:b/>
            <w:bCs/>
            <w:color w:val="000000"/>
            <w:sz w:val="21"/>
            <w:szCs w:val="21"/>
            <w:bdr w:val="none" w:sz="0" w:space="0" w:color="auto" w:frame="1"/>
            <w:lang w:eastAsia="en-GB"/>
          </w:rPr>
          <w:t>Online School Payments</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29" w:history="1">
        <w:r w:rsidRPr="00361539">
          <w:rPr>
            <w:rFonts w:ascii="Arial" w:eastAsia="Times New Roman" w:hAnsi="Arial" w:cs="Arial"/>
            <w:b/>
            <w:bCs/>
            <w:color w:val="000000"/>
            <w:sz w:val="21"/>
            <w:szCs w:val="21"/>
            <w:bdr w:val="none" w:sz="0" w:space="0" w:color="auto" w:frame="1"/>
            <w:lang w:eastAsia="en-GB"/>
          </w:rPr>
          <w:t>Devolved School Management Scheme</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30" w:history="1">
        <w:r w:rsidRPr="00361539">
          <w:rPr>
            <w:rFonts w:ascii="Arial" w:eastAsia="Times New Roman" w:hAnsi="Arial" w:cs="Arial"/>
            <w:b/>
            <w:bCs/>
            <w:color w:val="000000"/>
            <w:sz w:val="21"/>
            <w:szCs w:val="21"/>
            <w:bdr w:val="none" w:sz="0" w:space="0" w:color="auto" w:frame="1"/>
            <w:lang w:eastAsia="en-GB"/>
          </w:rPr>
          <w:t>Learning Assistant Allocation Process</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31" w:history="1">
        <w:r w:rsidRPr="00361539">
          <w:rPr>
            <w:rFonts w:ascii="Arial" w:eastAsia="Times New Roman" w:hAnsi="Arial" w:cs="Arial"/>
            <w:b/>
            <w:bCs/>
            <w:color w:val="000000"/>
            <w:sz w:val="21"/>
            <w:szCs w:val="21"/>
            <w:bdr w:val="none" w:sz="0" w:space="0" w:color="auto" w:frame="1"/>
            <w:lang w:eastAsia="en-GB"/>
          </w:rPr>
          <w:t>Partnership and School Management Arrangements</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32" w:history="1">
        <w:r w:rsidRPr="00361539">
          <w:rPr>
            <w:rFonts w:ascii="Arial" w:eastAsia="Times New Roman" w:hAnsi="Arial" w:cs="Arial"/>
            <w:b/>
            <w:bCs/>
            <w:color w:val="000000"/>
            <w:sz w:val="21"/>
            <w:szCs w:val="21"/>
            <w:bdr w:val="none" w:sz="0" w:space="0" w:color="auto" w:frame="1"/>
            <w:lang w:eastAsia="en-GB"/>
          </w:rPr>
          <w:t>SAC Stretch Aims</w:t>
        </w:r>
      </w:hyperlink>
    </w:p>
    <w:p w:rsidR="00361539" w:rsidRPr="00361539" w:rsidRDefault="00361539" w:rsidP="00361539">
      <w:pPr>
        <w:numPr>
          <w:ilvl w:val="0"/>
          <w:numId w:val="1"/>
        </w:numPr>
        <w:pBdr>
          <w:bottom w:val="single" w:sz="6" w:space="0" w:color="007A33"/>
        </w:pBdr>
        <w:shd w:val="clear" w:color="auto" w:fill="F4E6F4"/>
        <w:spacing w:after="0" w:line="240" w:lineRule="auto"/>
        <w:ind w:left="0"/>
        <w:textAlignment w:val="baseline"/>
        <w:rPr>
          <w:rFonts w:ascii="Arial" w:eastAsia="Times New Roman" w:hAnsi="Arial" w:cs="Arial"/>
          <w:color w:val="040F1E"/>
          <w:sz w:val="21"/>
          <w:szCs w:val="21"/>
          <w:lang w:eastAsia="en-GB"/>
        </w:rPr>
      </w:pPr>
      <w:hyperlink r:id="rId33" w:history="1">
        <w:r w:rsidRPr="00361539">
          <w:rPr>
            <w:rFonts w:ascii="Arial" w:eastAsia="Times New Roman" w:hAnsi="Arial" w:cs="Arial"/>
            <w:b/>
            <w:bCs/>
            <w:color w:val="000000"/>
            <w:sz w:val="21"/>
            <w:szCs w:val="21"/>
            <w:bdr w:val="none" w:sz="0" w:space="0" w:color="auto" w:frame="1"/>
            <w:shd w:val="clear" w:color="auto" w:fill="F4E6F4"/>
            <w:lang w:eastAsia="en-GB"/>
          </w:rPr>
          <w:t>Duty of Candour Report 2024</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34" w:history="1">
        <w:r w:rsidRPr="00361539">
          <w:rPr>
            <w:rFonts w:ascii="Arial" w:eastAsia="Times New Roman" w:hAnsi="Arial" w:cs="Arial"/>
            <w:b/>
            <w:bCs/>
            <w:color w:val="000000"/>
            <w:sz w:val="21"/>
            <w:szCs w:val="21"/>
            <w:bdr w:val="none" w:sz="0" w:space="0" w:color="auto" w:frame="1"/>
            <w:lang w:eastAsia="en-GB"/>
          </w:rPr>
          <w:t>Active Schools</w:t>
        </w:r>
      </w:hyperlink>
    </w:p>
    <w:p w:rsidR="00361539" w:rsidRPr="00361539" w:rsidRDefault="00361539" w:rsidP="00361539">
      <w:pPr>
        <w:numPr>
          <w:ilvl w:val="0"/>
          <w:numId w:val="1"/>
        </w:numPr>
        <w:pBdr>
          <w:bottom w:val="single" w:sz="6" w:space="0" w:color="007A33"/>
        </w:pBdr>
        <w:spacing w:after="0" w:line="240" w:lineRule="auto"/>
        <w:ind w:left="0"/>
        <w:textAlignment w:val="baseline"/>
        <w:rPr>
          <w:rFonts w:ascii="Arial" w:eastAsia="Times New Roman" w:hAnsi="Arial" w:cs="Arial"/>
          <w:color w:val="040F1E"/>
          <w:sz w:val="21"/>
          <w:szCs w:val="21"/>
          <w:lang w:eastAsia="en-GB"/>
        </w:rPr>
      </w:pPr>
      <w:hyperlink r:id="rId35" w:history="1">
        <w:r w:rsidRPr="00361539">
          <w:rPr>
            <w:rFonts w:ascii="Arial" w:eastAsia="Times New Roman" w:hAnsi="Arial" w:cs="Arial"/>
            <w:b/>
            <w:bCs/>
            <w:color w:val="000000"/>
            <w:sz w:val="21"/>
            <w:szCs w:val="21"/>
            <w:bdr w:val="none" w:sz="0" w:space="0" w:color="auto" w:frame="1"/>
            <w:lang w:eastAsia="en-GB"/>
          </w:rPr>
          <w:t>Educational Visitor Service</w:t>
        </w:r>
      </w:hyperlink>
    </w:p>
    <w:p w:rsidR="00361539" w:rsidRPr="00361539" w:rsidRDefault="00361539" w:rsidP="00361539">
      <w:pPr>
        <w:numPr>
          <w:ilvl w:val="0"/>
          <w:numId w:val="1"/>
        </w:numPr>
        <w:spacing w:line="240" w:lineRule="auto"/>
        <w:ind w:left="0"/>
        <w:textAlignment w:val="baseline"/>
        <w:rPr>
          <w:rFonts w:ascii="Arial" w:eastAsia="Times New Roman" w:hAnsi="Arial" w:cs="Arial"/>
          <w:color w:val="040F1E"/>
          <w:sz w:val="21"/>
          <w:szCs w:val="21"/>
          <w:lang w:eastAsia="en-GB"/>
        </w:rPr>
      </w:pPr>
      <w:hyperlink r:id="rId36" w:history="1">
        <w:r w:rsidRPr="00361539">
          <w:rPr>
            <w:rFonts w:ascii="Arial" w:eastAsia="Times New Roman" w:hAnsi="Arial" w:cs="Arial"/>
            <w:b/>
            <w:bCs/>
            <w:color w:val="000000"/>
            <w:sz w:val="21"/>
            <w:szCs w:val="21"/>
            <w:bdr w:val="none" w:sz="0" w:space="0" w:color="auto" w:frame="1"/>
            <w:lang w:eastAsia="en-GB"/>
          </w:rPr>
          <w:t>School Vaccination Programme</w:t>
        </w:r>
      </w:hyperlink>
    </w:p>
    <w:p w:rsidR="005B586B" w:rsidRDefault="005B586B"/>
    <w:p w:rsidR="00361539" w:rsidRDefault="00361539">
      <w:r>
        <w:t>Taken from Dumfries &amp; Galloway Council website, 02.10.24</w:t>
      </w:r>
      <w:bookmarkStart w:id="0" w:name="_GoBack"/>
      <w:bookmarkEnd w:id="0"/>
    </w:p>
    <w:sectPr w:rsidR="003615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80282"/>
    <w:multiLevelType w:val="multilevel"/>
    <w:tmpl w:val="D9E8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39"/>
    <w:rsid w:val="00361539"/>
    <w:rsid w:val="005B5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5AC3"/>
  <w15:chartTrackingRefBased/>
  <w15:docId w15:val="{F10C3379-2E48-41C1-BF6C-AE1FF91D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434805">
      <w:bodyDiv w:val="1"/>
      <w:marLeft w:val="0"/>
      <w:marRight w:val="0"/>
      <w:marTop w:val="0"/>
      <w:marBottom w:val="0"/>
      <w:divBdr>
        <w:top w:val="none" w:sz="0" w:space="0" w:color="auto"/>
        <w:left w:val="none" w:sz="0" w:space="0" w:color="auto"/>
        <w:bottom w:val="none" w:sz="0" w:space="0" w:color="auto"/>
        <w:right w:val="none" w:sz="0" w:space="0" w:color="auto"/>
      </w:divBdr>
      <w:divsChild>
        <w:div w:id="1332174294">
          <w:marLeft w:val="0"/>
          <w:marRight w:val="0"/>
          <w:marTop w:val="0"/>
          <w:marBottom w:val="0"/>
          <w:divBdr>
            <w:top w:val="none" w:sz="0" w:space="0" w:color="auto"/>
            <w:left w:val="none" w:sz="0" w:space="0" w:color="auto"/>
            <w:bottom w:val="none" w:sz="0" w:space="0" w:color="auto"/>
            <w:right w:val="none" w:sz="0" w:space="0" w:color="auto"/>
          </w:divBdr>
          <w:divsChild>
            <w:div w:id="32199375">
              <w:marLeft w:val="0"/>
              <w:marRight w:val="0"/>
              <w:marTop w:val="0"/>
              <w:marBottom w:val="0"/>
              <w:divBdr>
                <w:top w:val="none" w:sz="0" w:space="0" w:color="auto"/>
                <w:left w:val="none" w:sz="0" w:space="0" w:color="auto"/>
                <w:bottom w:val="none" w:sz="0" w:space="0" w:color="auto"/>
                <w:right w:val="none" w:sz="0" w:space="0" w:color="auto"/>
              </w:divBdr>
              <w:divsChild>
                <w:div w:id="1394044264">
                  <w:marLeft w:val="0"/>
                  <w:marRight w:val="0"/>
                  <w:marTop w:val="0"/>
                  <w:marBottom w:val="0"/>
                  <w:divBdr>
                    <w:top w:val="none" w:sz="0" w:space="0" w:color="auto"/>
                    <w:left w:val="none" w:sz="0" w:space="0" w:color="auto"/>
                    <w:bottom w:val="none" w:sz="0" w:space="0" w:color="auto"/>
                    <w:right w:val="none" w:sz="0" w:space="0" w:color="auto"/>
                  </w:divBdr>
                </w:div>
                <w:div w:id="474100906">
                  <w:marLeft w:val="0"/>
                  <w:marRight w:val="0"/>
                  <w:marTop w:val="0"/>
                  <w:marBottom w:val="0"/>
                  <w:divBdr>
                    <w:top w:val="none" w:sz="0" w:space="0" w:color="auto"/>
                    <w:left w:val="none" w:sz="0" w:space="0" w:color="auto"/>
                    <w:bottom w:val="none" w:sz="0" w:space="0" w:color="auto"/>
                    <w:right w:val="none" w:sz="0" w:space="0" w:color="auto"/>
                  </w:divBdr>
                </w:div>
              </w:divsChild>
            </w:div>
            <w:div w:id="772095266">
              <w:marLeft w:val="0"/>
              <w:marRight w:val="0"/>
              <w:marTop w:val="0"/>
              <w:marBottom w:val="600"/>
              <w:divBdr>
                <w:top w:val="none" w:sz="0" w:space="0" w:color="auto"/>
                <w:left w:val="single" w:sz="6" w:space="0" w:color="007A33"/>
                <w:bottom w:val="single" w:sz="6" w:space="0" w:color="007A33"/>
                <w:right w:val="single" w:sz="6" w:space="0" w:color="007A3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mgal.gov.uk/article/15234/Early-learning-and-childcare" TargetMode="External"/><Relationship Id="rId13" Type="http://schemas.openxmlformats.org/officeDocument/2006/relationships/hyperlink" Target="https://www.dumgal.gov.uk/article/15241/School-places" TargetMode="External"/><Relationship Id="rId18" Type="http://schemas.openxmlformats.org/officeDocument/2006/relationships/hyperlink" Target="https://www.dumgal.gov.uk/article/16455/The-Bridge" TargetMode="External"/><Relationship Id="rId26" Type="http://schemas.openxmlformats.org/officeDocument/2006/relationships/hyperlink" Target="https://www.dumgal.gov.uk/article/20242/South-West-Education-Improvement-Collaborative" TargetMode="External"/><Relationship Id="rId3" Type="http://schemas.openxmlformats.org/officeDocument/2006/relationships/settings" Target="settings.xml"/><Relationship Id="rId21" Type="http://schemas.openxmlformats.org/officeDocument/2006/relationships/hyperlink" Target="https://www.dumgal.gov.uk/article/17608/Parental-Involvement-and-Engagement-PIE" TargetMode="External"/><Relationship Id="rId34" Type="http://schemas.openxmlformats.org/officeDocument/2006/relationships/hyperlink" Target="https://www.dumgal.gov.uk/article/17269/Active-Schools" TargetMode="External"/><Relationship Id="rId7" Type="http://schemas.openxmlformats.org/officeDocument/2006/relationships/hyperlink" Target="https://www.dumgal.gov.uk/article/15239/School-term-and-holiday-dates" TargetMode="External"/><Relationship Id="rId12" Type="http://schemas.openxmlformats.org/officeDocument/2006/relationships/hyperlink" Target="https://www.dumgal.gov.uk/article/27062/Employment-of-children" TargetMode="External"/><Relationship Id="rId17" Type="http://schemas.openxmlformats.org/officeDocument/2006/relationships/hyperlink" Target="https://www.dumgal.gov.uk/article/22854/Dumfries-Learning-Town" TargetMode="External"/><Relationship Id="rId25" Type="http://schemas.openxmlformats.org/officeDocument/2006/relationships/hyperlink" Target="https://www.dumgal.gov.uk/article/19028/Youth-Music-Initiative" TargetMode="External"/><Relationship Id="rId33" Type="http://schemas.openxmlformats.org/officeDocument/2006/relationships/hyperlink" Target="https://www.dumgal.gov.uk/article/26681/Duty-of-Candour-Report-202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umgal.gov.uk/article/20049/Education-Authority" TargetMode="External"/><Relationship Id="rId20" Type="http://schemas.openxmlformats.org/officeDocument/2006/relationships/hyperlink" Target="https://www.dumgal.gov.uk/article/23310/Parent-Councils" TargetMode="External"/><Relationship Id="rId29" Type="http://schemas.openxmlformats.org/officeDocument/2006/relationships/hyperlink" Target="https://www.dumgal.gov.uk/article/24476/Devolved-School-Management-Scheme" TargetMode="External"/><Relationship Id="rId1" Type="http://schemas.openxmlformats.org/officeDocument/2006/relationships/numbering" Target="numbering.xml"/><Relationship Id="rId6" Type="http://schemas.openxmlformats.org/officeDocument/2006/relationships/hyperlink" Target="https://www.dumgal.gov.uk/article/15534/Secondary-schools" TargetMode="External"/><Relationship Id="rId11" Type="http://schemas.openxmlformats.org/officeDocument/2006/relationships/hyperlink" Target="https://www.dumgal.gov.uk/article/15243/Financial-support-for-education" TargetMode="External"/><Relationship Id="rId24" Type="http://schemas.openxmlformats.org/officeDocument/2006/relationships/hyperlink" Target="https://www.dumgal.gov.uk/article/19027/Instrumental-Music-Tuition" TargetMode="External"/><Relationship Id="rId32" Type="http://schemas.openxmlformats.org/officeDocument/2006/relationships/hyperlink" Target="https://www.dumgal.gov.uk/article/25991/SAC-Stretch-Aims" TargetMode="External"/><Relationship Id="rId37" Type="http://schemas.openxmlformats.org/officeDocument/2006/relationships/fontTable" Target="fontTable.xml"/><Relationship Id="rId5" Type="http://schemas.openxmlformats.org/officeDocument/2006/relationships/hyperlink" Target="https://www.dumgal.gov.uk/article/15238/Primary-schools" TargetMode="External"/><Relationship Id="rId15" Type="http://schemas.openxmlformats.org/officeDocument/2006/relationships/hyperlink" Target="https://www.dumgal.gov.uk/schoollets" TargetMode="External"/><Relationship Id="rId23" Type="http://schemas.openxmlformats.org/officeDocument/2006/relationships/hyperlink" Target="https://www.dumgal.gov.uk/article/17649/Public-performances-by-children" TargetMode="External"/><Relationship Id="rId28" Type="http://schemas.openxmlformats.org/officeDocument/2006/relationships/hyperlink" Target="https://www.dumgal.gov.uk/Online-School-Payments" TargetMode="External"/><Relationship Id="rId36" Type="http://schemas.openxmlformats.org/officeDocument/2006/relationships/hyperlink" Target="https://www.dumgal.gov.uk/article/27203/School-Vaccination-Programme" TargetMode="External"/><Relationship Id="rId10" Type="http://schemas.openxmlformats.org/officeDocument/2006/relationships/hyperlink" Target="https://www.dumgal.gov.uk/article/16163/Support-for-Learners" TargetMode="External"/><Relationship Id="rId19" Type="http://schemas.openxmlformats.org/officeDocument/2006/relationships/hyperlink" Target="https://www.dumgal.gov.uk/article/21397/Home-Education" TargetMode="External"/><Relationship Id="rId31" Type="http://schemas.openxmlformats.org/officeDocument/2006/relationships/hyperlink" Target="https://www.dumgal.gov.uk/partnership-arrangements" TargetMode="External"/><Relationship Id="rId4" Type="http://schemas.openxmlformats.org/officeDocument/2006/relationships/webSettings" Target="webSettings.xml"/><Relationship Id="rId9" Type="http://schemas.openxmlformats.org/officeDocument/2006/relationships/hyperlink" Target="https://www.dumgal.gov.uk/schoolmenus" TargetMode="External"/><Relationship Id="rId14" Type="http://schemas.openxmlformats.org/officeDocument/2006/relationships/hyperlink" Target="https://www.dumgal.gov.uk/secondary-transitions" TargetMode="External"/><Relationship Id="rId22" Type="http://schemas.openxmlformats.org/officeDocument/2006/relationships/hyperlink" Target="https://www.dumgal.gov.uk/article/17613/Education-Authority-Annual-Plan" TargetMode="External"/><Relationship Id="rId27" Type="http://schemas.openxmlformats.org/officeDocument/2006/relationships/hyperlink" Target="https://www.dumgal.gov.uk/article/22434/Educational-Psychology-Service" TargetMode="External"/><Relationship Id="rId30" Type="http://schemas.openxmlformats.org/officeDocument/2006/relationships/hyperlink" Target="https://www.dumgal.gov.uk/learning-assistant-allocation-process" TargetMode="External"/><Relationship Id="rId35" Type="http://schemas.openxmlformats.org/officeDocument/2006/relationships/hyperlink" Target="https://www.dumgal.gov.uk/article/27134/Educational-Visitor-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Townsend-Sawley</dc:creator>
  <cp:keywords/>
  <dc:description/>
  <cp:lastModifiedBy>Caroline Townsend-Sawley</cp:lastModifiedBy>
  <cp:revision>1</cp:revision>
  <dcterms:created xsi:type="dcterms:W3CDTF">2024-10-02T11:07:00Z</dcterms:created>
  <dcterms:modified xsi:type="dcterms:W3CDTF">2024-10-02T11:09:00Z</dcterms:modified>
</cp:coreProperties>
</file>