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EC" w:rsidRDefault="000E20EC" w:rsidP="000E20EC">
      <w:pPr>
        <w:tabs>
          <w:tab w:val="left" w:pos="284"/>
          <w:tab w:val="left" w:pos="709"/>
        </w:tabs>
        <w:rPr>
          <w:rFonts w:ascii="Arial" w:hAnsi="Arial"/>
          <w:b/>
          <w:bCs/>
          <w:noProof/>
          <w:color w:val="FFFFFF"/>
          <w:sz w:val="28"/>
          <w:szCs w:val="28"/>
          <w:lang w:val="en-GB" w:eastAsia="en-GB"/>
        </w:rPr>
      </w:pPr>
      <w:r>
        <w:rPr>
          <w:rFonts w:ascii="Arial" w:hAnsi="Arial"/>
          <w:b/>
          <w:bCs/>
          <w:noProof/>
          <w:sz w:val="28"/>
          <w:szCs w:val="28"/>
          <w:lang w:val="en-GB" w:eastAsia="en-GB"/>
        </w:rPr>
        <w:t>3. SCHOOL IMPROVEMENT PLAN 2019 - 2020</w:t>
      </w:r>
      <w:bookmarkStart w:id="0" w:name="_GoBack"/>
      <w:bookmarkEnd w:id="0"/>
    </w:p>
    <w:p w:rsidR="000E20EC" w:rsidRDefault="000E20EC" w:rsidP="000E20EC">
      <w:pPr>
        <w:rPr>
          <w:rFonts w:ascii="Arial" w:hAnsi="Arial"/>
          <w:color w:val="00B050"/>
          <w:sz w:val="14"/>
          <w:szCs w:val="14"/>
        </w:rPr>
      </w:pPr>
      <w:r>
        <w:rPr>
          <w:rFonts w:ascii="Arial" w:hAnsi="Arial" w:cs="Arial"/>
          <w:b/>
          <w:bCs/>
          <w:i/>
          <w:color w:val="00B050"/>
        </w:rPr>
        <w:t xml:space="preserve">Clearly identify within your School Improvement Plan where you are using Pupil Equity Funding to improve outcomes for learners.  </w:t>
      </w:r>
    </w:p>
    <w:tbl>
      <w:tblPr>
        <w:tblW w:w="144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3969"/>
        <w:gridCol w:w="3827"/>
        <w:gridCol w:w="3692"/>
      </w:tblGrid>
      <w:tr w:rsidR="000E20EC" w:rsidTr="000E20EC">
        <w:tc>
          <w:tcPr>
            <w:tcW w:w="1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0E20EC" w:rsidRPr="000E20EC" w:rsidRDefault="000E20EC">
            <w:pPr>
              <w:rPr>
                <w:rFonts w:ascii="Arial" w:hAnsi="Arial" w:cs="Arial"/>
                <w:b/>
                <w:bCs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The ‘Planned Management of Improvement Area’ (Column 4) should indicate lead person/s, resources, time allocations; for example, collegiate sessions.   Consideration should be given to how bureaucracy will be reduced and workload managed with the school’s 35-hrs Working Time Agreement.  </w:t>
            </w:r>
            <w:r w:rsidRPr="000E20EC">
              <w:rPr>
                <w:rFonts w:ascii="Arial" w:hAnsi="Arial" w:cs="Arial"/>
                <w:b/>
                <w:bCs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</w:t>
            </w:r>
          </w:p>
          <w:p w:rsidR="000E20EC" w:rsidRDefault="000E20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E20EC" w:rsidTr="000E20EC">
        <w:trPr>
          <w:trHeight w:val="914"/>
        </w:trPr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0E20EC" w:rsidRDefault="000E20EC">
            <w:pPr>
              <w:pStyle w:val="Heading3"/>
              <w:spacing w:before="0" w:beforeAutospacing="0" w:after="0" w:afterAutospacing="0"/>
              <w:rPr>
                <w:i w:val="0"/>
                <w:color w:val="auto"/>
                <w:sz w:val="18"/>
                <w:szCs w:val="18"/>
              </w:rPr>
            </w:pPr>
          </w:p>
          <w:p w:rsidR="000E20EC" w:rsidRDefault="000E20EC">
            <w:pPr>
              <w:pStyle w:val="Heading3"/>
              <w:spacing w:before="0" w:beforeAutospacing="0" w:after="0" w:afterAutospacing="0"/>
              <w:rPr>
                <w:i w:val="0"/>
                <w:color w:val="auto"/>
                <w:sz w:val="18"/>
                <w:szCs w:val="18"/>
              </w:rPr>
            </w:pPr>
          </w:p>
          <w:p w:rsidR="000E20EC" w:rsidRDefault="000E20EC">
            <w:pPr>
              <w:pStyle w:val="Heading3"/>
              <w:spacing w:before="0" w:beforeAutospacing="0" w:after="0" w:afterAutospacing="0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Improvement Area</w:t>
            </w:r>
          </w:p>
          <w:p w:rsidR="000E20EC" w:rsidRDefault="000E20EC">
            <w:pPr>
              <w:pStyle w:val="Heading3"/>
              <w:spacing w:before="0" w:beforeAutospacing="0" w:after="0" w:afterAutospacing="0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E20EC" w:rsidRDefault="000E20EC">
            <w:pPr>
              <w:pStyle w:val="Heading3"/>
              <w:spacing w:before="0" w:beforeAutospacing="0" w:after="0" w:afterAutospacing="0"/>
              <w:rPr>
                <w:i w:val="0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3810</wp:posOffset>
                      </wp:positionV>
                      <wp:extent cx="4786630" cy="238125"/>
                      <wp:effectExtent l="5080" t="13335" r="8890" b="57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66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0EC" w:rsidRDefault="000E20EC" w:rsidP="000E20E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How are you using pupil equity funding to improve outcomes for learners?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1.15pt;margin-top:.3pt;width:376.9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">
                      <v:textbox>
                        <w:txbxContent>
                          <w:p w:rsidR="000E20EC" w:rsidRDefault="000E20EC" w:rsidP="000E20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How are you using pupil equity funding to improve outcomes for learners?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0EC" w:rsidRDefault="000E20EC">
            <w:pPr>
              <w:pStyle w:val="Heading3"/>
              <w:spacing w:before="0" w:beforeAutospacing="0" w:after="0" w:afterAutospacing="0"/>
              <w:rPr>
                <w:i w:val="0"/>
                <w:color w:val="auto"/>
                <w:sz w:val="20"/>
                <w:szCs w:val="20"/>
              </w:rPr>
            </w:pPr>
          </w:p>
          <w:p w:rsidR="000E20EC" w:rsidRDefault="000E20EC">
            <w:pPr>
              <w:pStyle w:val="Heading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Outcomes for Learners / School Community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Tasks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E20EC" w:rsidRDefault="000E2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Planned Management of Improvement Area</w:t>
            </w:r>
          </w:p>
          <w:p w:rsidR="000E20EC" w:rsidRDefault="000E20EC">
            <w:pPr>
              <w:rPr>
                <w:rFonts w:ascii="Arial" w:hAnsi="Arial" w:cs="Arial"/>
                <w:b/>
                <w:bCs/>
                <w:color w:val="672C94"/>
                <w:sz w:val="18"/>
                <w:szCs w:val="18"/>
              </w:rPr>
            </w:pPr>
            <w:r>
              <w:rPr>
                <w:rStyle w:val="PageNumber"/>
                <w:rFonts w:ascii="Arial" w:hAnsi="Arial"/>
                <w:b/>
                <w:bCs/>
                <w:color w:val="672C94"/>
                <w:sz w:val="18"/>
                <w:szCs w:val="18"/>
              </w:rPr>
              <w:t>(Include: Responsible/Lead Person, Time Allocations, Funding – including PEF and Expected Completion Date )</w:t>
            </w:r>
          </w:p>
        </w:tc>
      </w:tr>
      <w:tr w:rsidR="000E20EC" w:rsidTr="000E20EC">
        <w:trPr>
          <w:trHeight w:val="2585"/>
        </w:trPr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School Priority 1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Whole school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self evaluation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 Evidence leading improvement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NIF Priority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Improvement in attainment, particularly in literacy and numeracy.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NIF Driver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School improvement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HGIOS?4 / HGIOELC QIs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stakeholders contribute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meaningfully  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base for improvement for learners.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Learners benefit from improved pace and challenge through increased scrutiny of key evidence by teachers.</w:t>
            </w:r>
          </w:p>
          <w:p w:rsidR="000E20EC" w:rsidRDefault="000E20EC">
            <w:pPr>
              <w:tabs>
                <w:tab w:val="left" w:pos="135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Clarity of evidence shows clear improvement pathway for all.</w:t>
            </w:r>
          </w:p>
          <w:p w:rsidR="000E20EC" w:rsidRDefault="000E20EC">
            <w:pPr>
              <w:tabs>
                <w:tab w:val="left" w:pos="135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Increasingly focused monitoring and tracking systems across the school contributes to year on year improvement in past priority areas as well as current priority areas.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Attainment meetings between management staff and class teachers to increasingly include ‘presenting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evidence’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 of attainment and achievement conversations around successes and barriers to learning.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team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teachers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Adjust format of our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planned attainment meetings.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Attainment meetings decisions are clearly evidenced in classroom practice and gathered evidence of school monitoring process.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EC" w:rsidTr="000E20EC">
        <w:trPr>
          <w:trHeight w:val="2585"/>
        </w:trPr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lastRenderedPageBreak/>
              <w:t>School Priority 2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Skills for learning life and work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NIF Priority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Improvement in employability skills.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Improvement in children and young people’s health and well-being.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NIF Driver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Teacher professionalism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Parental engagement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HGIOS?4 / HGIOELC QIs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All children continue to develop improve their skills of cooperative working, including individual and group organization and leadership as they move through the school at second level.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( builds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on principles learned via previous Outdoor Education Service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due to removal of that service from local authority.)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of our revamped garden/cooking facilities as an important curriculum resource that is integral to planned well-being/ food technology teaching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pre-planned as part of IDL bundles.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Financial ‘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comsumables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’ plan/system required for school to enable easy staff access to necessary food/gardening/technology consumables.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Communication Champion to work with all teaching staff to agree detail of moderation of T&amp;L.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 of Lego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Wedo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-Two staff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LegoWedo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training to cascade training to other staff via CAT.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Garden club staff to train class teachers and support staff via CAT in the basics of planting and maintaining our vegetable and flower garden/pots.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include risk assessments as part of this process.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Through collegiate teacher working benchmarks relating to food technology outcomes to have clear path through our school curriculum.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Engage with Outdoor Education Private Provider (Lockerbie Manor) to continue some adventure sport provision for P7.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at least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one  member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staff as School Communication Champion- attend training and share with rest of teaching staff. Improve outcomes for all learners – 3-12. 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Investigate possibility of breakfast club run by parents from targeted group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Evaluate through focus group of learners according to principles of professional enquiry.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 and CTs to monitor and track skills for life and work within planning benchmarks.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Release staff to work collaboratively on highlighting this pathway for all teachers and learners.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Effectiveness of new privately provided 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Management/CT &amp; Lockerbie Manor staff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Continue to use local authority Employability Toolkit as resource for evaluation of effectiveness.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Chierci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-Black as Communication Champion.- Through NHS S&amp;L 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0EC" w:rsidTr="000E20EC">
        <w:trPr>
          <w:trHeight w:val="2585"/>
        </w:trPr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lastRenderedPageBreak/>
              <w:t>School Priority 3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36C0A"/>
                <w:sz w:val="20"/>
                <w:szCs w:val="20"/>
              </w:rPr>
              <w:t>Improving achievement and attainment for all.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NIF Priority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Closing the attainment gap between the most and least disadvantaged children and young people.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NIF Driver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Performance information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8A54"/>
                <w:sz w:val="20"/>
                <w:szCs w:val="20"/>
              </w:rPr>
              <w:t>Assessment of children’s progress.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  <w:t>School leadership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HGIOS?4 / HGIOELC QIs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 to and take part in SWEIC moderation work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collaboratives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School moderation activities to have a particular focus on listening and talking evidence/ how robust it is and in creating examples of agreed levels of evidence.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Cluster moderation CAT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continue and include listening and talking if possible.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 authority intimated some time ago it wished schools to share a common four point scale within each level. The plan for implementation of this across D&amp;G is for August 2020.</w:t>
            </w: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Increase level of monitoring in next year’s P5 class after unusually high number of pupil intakes this academic year.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Release staff to take part in moderation across cluster, local authority and SWEIC moderation activities.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Invite local authority improvement team to school to share data good practice around SNSA level 4 training.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School planning on 3 point scale to be adjusted to fit 4 point scale of local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authority’s  planned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tracking and monitoring format.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 a significant increase in the number of children in P4 this academic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  comes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growing need. Resources in P5 in the next academic year need to be clearly identified, defined and accompanied by appropriate support for the most vulnerable/in need including those with EAL.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and class teachers.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Cluster HTs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Cluster moderation plan to include clearly predicted budget expenditure from cluster moderation budget.</w:t>
            </w: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EC" w:rsidRDefault="000E20EC">
            <w:pPr>
              <w:tabs>
                <w:tab w:val="left" w:pos="135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0EC" w:rsidRDefault="000E20EC" w:rsidP="000E20EC">
      <w:pPr>
        <w:tabs>
          <w:tab w:val="left" w:pos="284"/>
          <w:tab w:val="left" w:pos="709"/>
        </w:tabs>
        <w:rPr>
          <w:noProof/>
          <w:lang w:val="en-GB" w:eastAsia="en-GB"/>
        </w:rPr>
      </w:pPr>
    </w:p>
    <w:p w:rsidR="00A31D76" w:rsidRDefault="00A31D76"/>
    <w:sectPr w:rsidR="00A31D76" w:rsidSect="000E2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C"/>
    <w:rsid w:val="000E20EC"/>
    <w:rsid w:val="00A31D76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nhideWhenUsed/>
    <w:qFormat/>
    <w:rsid w:val="000E20EC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00009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20EC"/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styleId="PageNumber">
    <w:name w:val="page number"/>
    <w:basedOn w:val="DefaultParagraphFont"/>
    <w:semiHidden/>
    <w:unhideWhenUsed/>
    <w:rsid w:val="000E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nhideWhenUsed/>
    <w:qFormat/>
    <w:rsid w:val="000E20EC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00009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20EC"/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styleId="PageNumber">
    <w:name w:val="page number"/>
    <w:basedOn w:val="DefaultParagraphFont"/>
    <w:semiHidden/>
    <w:unhideWhenUsed/>
    <w:rsid w:val="000E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1</cp:revision>
  <dcterms:created xsi:type="dcterms:W3CDTF">2020-03-10T13:42:00Z</dcterms:created>
  <dcterms:modified xsi:type="dcterms:W3CDTF">2020-03-10T13:43:00Z</dcterms:modified>
</cp:coreProperties>
</file>