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C9" w:rsidRPr="00ED4BBE" w:rsidRDefault="006179A6">
      <w:pPr>
        <w:rPr>
          <w:b/>
          <w:u w:val="single"/>
        </w:rPr>
      </w:pPr>
      <w:r w:rsidRPr="00ED4BBE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440F56A9" wp14:editId="1B7C6DC9">
            <wp:simplePos x="0" y="0"/>
            <wp:positionH relativeFrom="column">
              <wp:posOffset>4419600</wp:posOffset>
            </wp:positionH>
            <wp:positionV relativeFrom="paragraph">
              <wp:posOffset>40640</wp:posOffset>
            </wp:positionV>
            <wp:extent cx="1398905" cy="2186940"/>
            <wp:effectExtent l="0" t="0" r="0" b="3810"/>
            <wp:wrapTight wrapText="bothSides">
              <wp:wrapPolygon edited="0">
                <wp:start x="0" y="0"/>
                <wp:lineTo x="0" y="21449"/>
                <wp:lineTo x="21178" y="21449"/>
                <wp:lineTo x="211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V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51" t="15207"/>
                    <a:stretch/>
                  </pic:blipFill>
                  <pic:spPr bwMode="auto">
                    <a:xfrm>
                      <a:off x="0" y="0"/>
                      <a:ext cx="1398905" cy="2186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BBE">
        <w:rPr>
          <w:b/>
          <w:u w:val="single"/>
        </w:rPr>
        <w:t>St. Andrew’s Primary School Curriculum Overview.</w:t>
      </w:r>
    </w:p>
    <w:p w:rsidR="001500D9" w:rsidRDefault="001500D9"/>
    <w:p w:rsidR="006179A6" w:rsidRDefault="006179A6">
      <w:r>
        <w:t xml:space="preserve">Welcome to our curriculum overview for </w:t>
      </w:r>
      <w:r w:rsidR="00CC0977">
        <w:rPr>
          <w:b/>
          <w:i/>
        </w:rPr>
        <w:t>Science</w:t>
      </w:r>
      <w:r>
        <w:t>.</w:t>
      </w:r>
    </w:p>
    <w:p w:rsidR="006179A6" w:rsidRDefault="006179A6">
      <w:r>
        <w:t xml:space="preserve">The idea behind this document is to share information about your child’s learning in </w:t>
      </w:r>
      <w:r w:rsidR="00CC0977">
        <w:rPr>
          <w:b/>
          <w:i/>
        </w:rPr>
        <w:t>Science</w:t>
      </w:r>
      <w:r>
        <w:t>. We have tried to make it as accessible as possible. With that in mind it is still important to explain some of the terms used.</w:t>
      </w:r>
    </w:p>
    <w:p w:rsidR="001500D9" w:rsidRDefault="001500D9">
      <w:pPr>
        <w:rPr>
          <w:b/>
        </w:rPr>
      </w:pPr>
    </w:p>
    <w:p w:rsidR="006179A6" w:rsidRPr="00ED4BBE" w:rsidRDefault="006179A6">
      <w:pPr>
        <w:rPr>
          <w:b/>
          <w:u w:val="single"/>
        </w:rPr>
      </w:pPr>
      <w:proofErr w:type="spellStart"/>
      <w:r w:rsidRPr="00ED4BBE">
        <w:rPr>
          <w:b/>
          <w:u w:val="single"/>
        </w:rPr>
        <w:t>Es</w:t>
      </w:r>
      <w:proofErr w:type="spellEnd"/>
      <w:r w:rsidRPr="00ED4BBE">
        <w:rPr>
          <w:b/>
          <w:u w:val="single"/>
        </w:rPr>
        <w:t xml:space="preserve"> &amp;</w:t>
      </w:r>
      <w:proofErr w:type="spellStart"/>
      <w:r w:rsidRPr="00ED4BBE">
        <w:rPr>
          <w:b/>
          <w:u w:val="single"/>
        </w:rPr>
        <w:t>Os</w:t>
      </w:r>
      <w:proofErr w:type="spellEnd"/>
      <w:r w:rsidRPr="00ED4BBE">
        <w:rPr>
          <w:b/>
          <w:u w:val="single"/>
        </w:rPr>
        <w:t>.</w:t>
      </w:r>
    </w:p>
    <w:p w:rsidR="006179A6" w:rsidRDefault="006179A6">
      <w:r>
        <w:t>This is shorthand for experiences and outcomes. These are the key elements provided by the national guidelines</w:t>
      </w:r>
      <w:r w:rsidR="006370B5">
        <w:t>. S</w:t>
      </w:r>
      <w:r>
        <w:t xml:space="preserve">chools in Scotland </w:t>
      </w:r>
      <w:r w:rsidR="006370B5">
        <w:t>are expected to use these</w:t>
      </w:r>
      <w:r>
        <w:t>.</w:t>
      </w:r>
    </w:p>
    <w:p w:rsidR="006370B5" w:rsidRPr="006370B5" w:rsidRDefault="006370B5">
      <w:pPr>
        <w:rPr>
          <w:b/>
        </w:rPr>
      </w:pPr>
    </w:p>
    <w:p w:rsidR="006179A6" w:rsidRPr="00ED4BBE" w:rsidRDefault="006179A6">
      <w:pPr>
        <w:rPr>
          <w:b/>
          <w:u w:val="single"/>
        </w:rPr>
      </w:pPr>
      <w:proofErr w:type="gramStart"/>
      <w:r w:rsidRPr="00ED4BBE">
        <w:rPr>
          <w:b/>
          <w:u w:val="single"/>
        </w:rPr>
        <w:t>Early Level, First level, second Level.</w:t>
      </w:r>
      <w:proofErr w:type="gramEnd"/>
    </w:p>
    <w:p w:rsidR="006179A6" w:rsidRDefault="006179A6">
      <w:proofErr w:type="gramStart"/>
      <w:r>
        <w:t>These  provide</w:t>
      </w:r>
      <w:proofErr w:type="gramEnd"/>
      <w:r>
        <w:t xml:space="preserve"> guidance in general terms about when  most children should achieve a level by.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urriculum for excellence achievement framework"/>
        <w:tblDescription w:val="Table showing A Curriculum for Excellence achievement framework for numeracy, literacy and health and wellbeing"/>
      </w:tblPr>
      <w:tblGrid>
        <w:gridCol w:w="735"/>
        <w:gridCol w:w="8291"/>
      </w:tblGrid>
      <w:tr w:rsidR="006179A6" w:rsidRPr="006179A6" w:rsidTr="006179A6">
        <w:tc>
          <w:tcPr>
            <w:tcW w:w="0" w:type="auto"/>
            <w:vAlign w:val="center"/>
            <w:hideMark/>
          </w:tcPr>
          <w:p w:rsidR="006179A6" w:rsidRPr="006179A6" w:rsidRDefault="006179A6" w:rsidP="006179A6">
            <w:pPr>
              <w:spacing w:after="0" w:line="4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6179A6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  <w:t>Level</w:t>
            </w:r>
          </w:p>
        </w:tc>
        <w:tc>
          <w:tcPr>
            <w:tcW w:w="0" w:type="auto"/>
            <w:vAlign w:val="center"/>
            <w:hideMark/>
          </w:tcPr>
          <w:p w:rsidR="006179A6" w:rsidRPr="006179A6" w:rsidRDefault="001500D9" w:rsidP="001500D9">
            <w:pPr>
              <w:spacing w:after="0" w:line="40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  <w:t xml:space="preserve"> </w:t>
            </w:r>
            <w:r w:rsidR="006179A6" w:rsidRPr="006179A6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  <w:t>Stage</w:t>
            </w:r>
          </w:p>
        </w:tc>
      </w:tr>
      <w:tr w:rsidR="006179A6" w:rsidRPr="006179A6" w:rsidTr="006179A6">
        <w:tc>
          <w:tcPr>
            <w:tcW w:w="0" w:type="auto"/>
            <w:vAlign w:val="center"/>
            <w:hideMark/>
          </w:tcPr>
          <w:p w:rsidR="006179A6" w:rsidRPr="006179A6" w:rsidRDefault="006179A6" w:rsidP="006179A6">
            <w:pPr>
              <w:spacing w:after="0" w:line="4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6179A6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  <w:t>Early</w:t>
            </w:r>
          </w:p>
        </w:tc>
        <w:tc>
          <w:tcPr>
            <w:tcW w:w="0" w:type="auto"/>
            <w:vAlign w:val="center"/>
            <w:hideMark/>
          </w:tcPr>
          <w:p w:rsidR="006179A6" w:rsidRDefault="006179A6" w:rsidP="006179A6">
            <w:pPr>
              <w:spacing w:after="0" w:line="4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</w:pPr>
          </w:p>
          <w:p w:rsidR="001500D9" w:rsidRDefault="001500D9" w:rsidP="006179A6">
            <w:pPr>
              <w:spacing w:after="0" w:line="4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 xml:space="preserve"> </w:t>
            </w:r>
            <w:r w:rsidR="006179A6" w:rsidRPr="006179A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 xml:space="preserve">The final two years of early learning and childcare before a child goes to school and P1, or 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 xml:space="preserve">    </w:t>
            </w:r>
          </w:p>
          <w:p w:rsidR="006179A6" w:rsidRPr="006179A6" w:rsidRDefault="001500D9" w:rsidP="006179A6">
            <w:pPr>
              <w:spacing w:after="0" w:line="4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 xml:space="preserve"> </w:t>
            </w:r>
            <w:proofErr w:type="gramStart"/>
            <w:r w:rsidR="006179A6" w:rsidRPr="006179A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later</w:t>
            </w:r>
            <w:proofErr w:type="gramEnd"/>
            <w:r w:rsidR="006179A6" w:rsidRPr="006179A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 xml:space="preserve"> for some.</w:t>
            </w:r>
          </w:p>
        </w:tc>
      </w:tr>
      <w:tr w:rsidR="006179A6" w:rsidRPr="006179A6" w:rsidTr="006179A6">
        <w:tc>
          <w:tcPr>
            <w:tcW w:w="0" w:type="auto"/>
            <w:vAlign w:val="center"/>
            <w:hideMark/>
          </w:tcPr>
          <w:p w:rsidR="006179A6" w:rsidRPr="006179A6" w:rsidRDefault="006179A6" w:rsidP="006179A6">
            <w:pPr>
              <w:spacing w:after="0" w:line="4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6179A6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  <w:t>First</w:t>
            </w:r>
          </w:p>
        </w:tc>
        <w:tc>
          <w:tcPr>
            <w:tcW w:w="0" w:type="auto"/>
            <w:vAlign w:val="center"/>
            <w:hideMark/>
          </w:tcPr>
          <w:p w:rsidR="001E1CAB" w:rsidRDefault="001500D9" w:rsidP="006179A6">
            <w:pPr>
              <w:spacing w:after="0" w:line="4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 xml:space="preserve"> </w:t>
            </w:r>
          </w:p>
          <w:p w:rsidR="006179A6" w:rsidRDefault="006179A6" w:rsidP="006179A6">
            <w:pPr>
              <w:spacing w:after="0" w:line="4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</w:pPr>
            <w:r w:rsidRPr="006179A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To the end of P4, but earlier or later for some.</w:t>
            </w:r>
          </w:p>
          <w:p w:rsidR="001500D9" w:rsidRPr="006179A6" w:rsidRDefault="001500D9" w:rsidP="006179A6">
            <w:pPr>
              <w:spacing w:after="0" w:line="4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</w:pPr>
          </w:p>
        </w:tc>
      </w:tr>
      <w:tr w:rsidR="006179A6" w:rsidRPr="006179A6" w:rsidTr="006179A6">
        <w:tc>
          <w:tcPr>
            <w:tcW w:w="0" w:type="auto"/>
            <w:vAlign w:val="center"/>
            <w:hideMark/>
          </w:tcPr>
          <w:p w:rsidR="006179A6" w:rsidRPr="006179A6" w:rsidRDefault="006179A6" w:rsidP="006179A6">
            <w:pPr>
              <w:spacing w:after="0" w:line="4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6179A6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  <w:t>Second</w:t>
            </w:r>
          </w:p>
        </w:tc>
        <w:tc>
          <w:tcPr>
            <w:tcW w:w="0" w:type="auto"/>
            <w:vAlign w:val="center"/>
            <w:hideMark/>
          </w:tcPr>
          <w:p w:rsidR="006179A6" w:rsidRPr="006179A6" w:rsidRDefault="001500D9" w:rsidP="006179A6">
            <w:pPr>
              <w:spacing w:after="0" w:line="4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 xml:space="preserve"> </w:t>
            </w:r>
            <w:r w:rsidR="006179A6" w:rsidRPr="006179A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  <w:t>To the end of P7, but earlier or later for some.</w:t>
            </w:r>
          </w:p>
        </w:tc>
      </w:tr>
      <w:tr w:rsidR="006179A6" w:rsidRPr="006179A6" w:rsidTr="006179A6">
        <w:tc>
          <w:tcPr>
            <w:tcW w:w="0" w:type="auto"/>
            <w:vAlign w:val="center"/>
          </w:tcPr>
          <w:p w:rsidR="006179A6" w:rsidRPr="006179A6" w:rsidRDefault="006179A6" w:rsidP="006179A6">
            <w:pPr>
              <w:spacing w:after="0" w:line="4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6179A6" w:rsidRPr="006179A6" w:rsidRDefault="006179A6" w:rsidP="006179A6">
            <w:pPr>
              <w:spacing w:after="400" w:line="40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GB"/>
              </w:rPr>
            </w:pPr>
          </w:p>
        </w:tc>
      </w:tr>
      <w:tr w:rsidR="006179A6" w:rsidRPr="006179A6" w:rsidTr="006179A6">
        <w:tc>
          <w:tcPr>
            <w:tcW w:w="0" w:type="auto"/>
            <w:vAlign w:val="center"/>
          </w:tcPr>
          <w:p w:rsidR="006179A6" w:rsidRPr="006179A6" w:rsidRDefault="006179A6" w:rsidP="006179A6">
            <w:pPr>
              <w:spacing w:after="0" w:line="4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6179A6" w:rsidRPr="006179A6" w:rsidRDefault="006179A6" w:rsidP="006179A6">
            <w:pPr>
              <w:spacing w:after="0" w:line="400" w:lineRule="atLeast"/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n-GB"/>
              </w:rPr>
            </w:pPr>
          </w:p>
        </w:tc>
      </w:tr>
    </w:tbl>
    <w:p w:rsidR="006179A6" w:rsidRPr="00073251" w:rsidRDefault="00ED4BBE">
      <w:pPr>
        <w:rPr>
          <w:b/>
          <w:u w:val="single"/>
        </w:rPr>
      </w:pPr>
      <w:r w:rsidRPr="00073251">
        <w:rPr>
          <w:b/>
          <w:u w:val="single"/>
        </w:rPr>
        <w:t>SALS- Significant Aspects of L</w:t>
      </w:r>
      <w:r w:rsidR="006179A6" w:rsidRPr="00073251">
        <w:rPr>
          <w:b/>
          <w:u w:val="single"/>
        </w:rPr>
        <w:t>earning</w:t>
      </w:r>
    </w:p>
    <w:p w:rsidR="006179A6" w:rsidRDefault="006179A6">
      <w:r>
        <w:t>These are again provided by the national government. They are key milestones in the assessment process for your child.</w:t>
      </w:r>
      <w:r w:rsidR="006370B5">
        <w:t xml:space="preserve"> Not all experiences and outcomes need to be covered with your child to say that they have achieved a level but all Significant Aspects of Learning are expected to be.</w:t>
      </w:r>
    </w:p>
    <w:p w:rsidR="001500D9" w:rsidRDefault="001500D9"/>
    <w:p w:rsidR="001500D9" w:rsidRPr="00073251" w:rsidRDefault="001500D9">
      <w:pPr>
        <w:rPr>
          <w:b/>
          <w:u w:val="single"/>
        </w:rPr>
      </w:pPr>
      <w:bookmarkStart w:id="0" w:name="_GoBack"/>
      <w:r w:rsidRPr="00073251">
        <w:rPr>
          <w:b/>
          <w:u w:val="single"/>
        </w:rPr>
        <w:t>Learner Statements</w:t>
      </w:r>
    </w:p>
    <w:bookmarkEnd w:id="0"/>
    <w:p w:rsidR="001500D9" w:rsidRDefault="001500D9">
      <w:r>
        <w:t xml:space="preserve">These are key elements of the SALs that learners use to </w:t>
      </w:r>
      <w:proofErr w:type="gramStart"/>
      <w:r>
        <w:t>reflect,</w:t>
      </w:r>
      <w:proofErr w:type="gramEnd"/>
      <w:r>
        <w:t xml:space="preserve"> judge progress and set targets.</w:t>
      </w:r>
    </w:p>
    <w:sectPr w:rsidR="001500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A6"/>
    <w:rsid w:val="00073251"/>
    <w:rsid w:val="001500D9"/>
    <w:rsid w:val="001E1CAB"/>
    <w:rsid w:val="006179A6"/>
    <w:rsid w:val="006370B5"/>
    <w:rsid w:val="009439C9"/>
    <w:rsid w:val="00CC0977"/>
    <w:rsid w:val="00ED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02399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454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Valentine</dc:creator>
  <cp:lastModifiedBy>Mark Valentine</cp:lastModifiedBy>
  <cp:revision>6</cp:revision>
  <dcterms:created xsi:type="dcterms:W3CDTF">2016-01-22T14:53:00Z</dcterms:created>
  <dcterms:modified xsi:type="dcterms:W3CDTF">2016-01-22T14:57:00Z</dcterms:modified>
</cp:coreProperties>
</file>