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174" w:type="dxa"/>
        <w:tblLayout w:type="fixed"/>
        <w:tblCellMar>
          <w:left w:w="10" w:type="dxa"/>
          <w:right w:w="10" w:type="dxa"/>
        </w:tblCellMar>
        <w:tblLook w:val="0000" w:firstRow="0" w:lastRow="0" w:firstColumn="0" w:lastColumn="0" w:noHBand="0" w:noVBand="0"/>
      </w:tblPr>
      <w:tblGrid>
        <w:gridCol w:w="14174"/>
      </w:tblGrid>
      <w:tr w:rsidR="009D13E6" w14:paraId="21C1412C" w14:textId="77777777" w:rsidTr="00AB2D07">
        <w:tc>
          <w:tcPr>
            <w:tcW w:w="14174" w:type="dxa"/>
            <w:tcBorders>
              <w:top w:val="single" w:sz="4" w:space="0" w:color="000000"/>
              <w:left w:val="single" w:sz="4" w:space="0" w:color="000000"/>
              <w:bottom w:val="single" w:sz="4" w:space="0" w:color="000000"/>
              <w:right w:val="single" w:sz="4" w:space="0" w:color="000000"/>
            </w:tcBorders>
            <w:shd w:val="clear" w:color="auto" w:fill="C2D69B"/>
            <w:tcMar>
              <w:top w:w="0" w:type="dxa"/>
              <w:left w:w="108" w:type="dxa"/>
              <w:bottom w:w="0" w:type="dxa"/>
              <w:right w:w="108" w:type="dxa"/>
            </w:tcMar>
          </w:tcPr>
          <w:p w14:paraId="4D4B3258" w14:textId="77777777" w:rsidR="009D13E6" w:rsidRDefault="009D13E6" w:rsidP="00AB2D07">
            <w:pPr>
              <w:rPr>
                <w:b/>
                <w:bCs/>
                <w:szCs w:val="24"/>
              </w:rPr>
            </w:pPr>
            <w:r>
              <w:rPr>
                <w:b/>
                <w:bCs/>
                <w:szCs w:val="24"/>
              </w:rPr>
              <w:t>SCHOOL: St Bernadette’s</w:t>
            </w:r>
          </w:p>
          <w:p w14:paraId="58D7341B" w14:textId="77777777" w:rsidR="009D13E6" w:rsidRDefault="009D13E6" w:rsidP="00AB2D07">
            <w:pPr>
              <w:rPr>
                <w:b/>
                <w:bCs/>
                <w:szCs w:val="24"/>
              </w:rPr>
            </w:pPr>
          </w:p>
          <w:p w14:paraId="52F6DD5A" w14:textId="77777777" w:rsidR="009D13E6" w:rsidRDefault="009D13E6" w:rsidP="00AB2D07">
            <w:pPr>
              <w:rPr>
                <w:b/>
                <w:bCs/>
                <w:szCs w:val="24"/>
              </w:rPr>
            </w:pPr>
            <w:r>
              <w:rPr>
                <w:b/>
                <w:bCs/>
                <w:szCs w:val="24"/>
              </w:rPr>
              <w:t>PEF ALLOCATION: £ 18 360</w:t>
            </w:r>
          </w:p>
          <w:p w14:paraId="6396B4F6" w14:textId="77777777" w:rsidR="009D13E6" w:rsidRDefault="009D13E6" w:rsidP="00AB2D07">
            <w:pPr>
              <w:rPr>
                <w:b/>
                <w:bCs/>
                <w:szCs w:val="24"/>
              </w:rPr>
            </w:pPr>
          </w:p>
          <w:p w14:paraId="27A93775" w14:textId="77777777" w:rsidR="009D13E6" w:rsidRDefault="009D13E6" w:rsidP="00AB2D07">
            <w:r>
              <w:rPr>
                <w:b/>
                <w:bCs/>
                <w:szCs w:val="24"/>
              </w:rPr>
              <w:t>YEAR: 2025/2026</w:t>
            </w:r>
          </w:p>
        </w:tc>
      </w:tr>
      <w:tr w:rsidR="009D13E6" w14:paraId="56E7E8AF" w14:textId="77777777" w:rsidTr="00AB2D07">
        <w:trPr>
          <w:trHeight w:val="917"/>
        </w:trPr>
        <w:tc>
          <w:tcPr>
            <w:tcW w:w="141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EDFB45" w14:textId="77777777" w:rsidR="009D13E6" w:rsidRDefault="009D13E6" w:rsidP="00AB2D07">
            <w:pPr>
              <w:rPr>
                <w:b/>
                <w:bCs/>
                <w:szCs w:val="24"/>
              </w:rPr>
            </w:pPr>
            <w:r>
              <w:rPr>
                <w:b/>
                <w:bCs/>
                <w:szCs w:val="24"/>
              </w:rPr>
              <w:t>CONTEXTUAL ANALYSIS</w:t>
            </w:r>
          </w:p>
          <w:p w14:paraId="7DCD4813" w14:textId="77777777" w:rsidR="009D13E6" w:rsidRDefault="009D13E6" w:rsidP="00AB2D07">
            <w:pPr>
              <w:pStyle w:val="NormalWeb"/>
              <w:tabs>
                <w:tab w:val="left" w:pos="12525"/>
              </w:tabs>
              <w:spacing w:before="0" w:after="0"/>
              <w:ind w:right="60"/>
              <w:jc w:val="both"/>
              <w:rPr>
                <w:rFonts w:ascii="Calibri" w:hAnsi="Calibri" w:cs="Calibri"/>
                <w:color w:val="000000"/>
                <w:shd w:val="clear" w:color="auto" w:fill="FFFFFF"/>
              </w:rPr>
            </w:pPr>
            <w:r>
              <w:rPr>
                <w:rFonts w:ascii="Tahoma" w:hAnsi="Tahoma" w:cs="Tahoma"/>
                <w:color w:val="201F1E"/>
                <w:sz w:val="20"/>
                <w:szCs w:val="20"/>
              </w:rPr>
              <w:t>Our projected school roll in August 2025 is 89 children organised across 4 composite classes.</w:t>
            </w:r>
            <w:r>
              <w:rPr>
                <w:rFonts w:ascii="Calibri" w:hAnsi="Calibri" w:cs="Calibri"/>
                <w:color w:val="000000"/>
                <w:sz w:val="22"/>
                <w:szCs w:val="22"/>
              </w:rPr>
              <w:t xml:space="preserve"> Our school is fortunate to include children whose families come from all over the world. 18% of our children have English as an Additional Language. Our reputation as a nurturing and inclusive school has led families to seek us out when their children have additional support needs, currently 46% of our children are recorded on staged intervention. The National Autism Implementation Team Society report that ‘</w:t>
            </w:r>
            <w:r>
              <w:rPr>
                <w:rFonts w:ascii="Calibri" w:hAnsi="Calibri" w:cs="Calibri"/>
                <w:i/>
                <w:iCs/>
                <w:color w:val="000000"/>
                <w:shd w:val="clear" w:color="auto" w:fill="FFFFFF"/>
              </w:rPr>
              <w:t xml:space="preserve">2.6% of learners in Scottish schools are autistic’ </w:t>
            </w:r>
            <w:r>
              <w:rPr>
                <w:rFonts w:ascii="Calibri" w:hAnsi="Calibri" w:cs="Calibri"/>
                <w:color w:val="000000"/>
                <w:shd w:val="clear" w:color="auto" w:fill="FFFFFF"/>
              </w:rPr>
              <w:t>but the rate of children in our school with an ASD diagnosis is 7.2% and we have a significant number of young people waiting for a neurodevelopmental difficulties assessment. </w:t>
            </w:r>
          </w:p>
          <w:p w14:paraId="47530214" w14:textId="77777777" w:rsidR="009D13E6" w:rsidRDefault="009D13E6" w:rsidP="00AB2D07">
            <w:pPr>
              <w:pStyle w:val="NormalWeb"/>
              <w:tabs>
                <w:tab w:val="left" w:pos="12525"/>
              </w:tabs>
              <w:spacing w:before="0" w:after="0"/>
              <w:ind w:right="60"/>
              <w:jc w:val="both"/>
            </w:pPr>
            <w:r>
              <w:rPr>
                <w:rFonts w:ascii="Calibri" w:hAnsi="Calibri" w:cs="Calibri"/>
                <w:color w:val="000000"/>
              </w:rPr>
              <w:t xml:space="preserve">The Scottish Index of Multiple Deprivation (SIMD) is the measure that the Scottish Government uses </w:t>
            </w:r>
            <w:r>
              <w:rPr>
                <w:rFonts w:ascii="Calibri" w:hAnsi="Calibri" w:cs="Calibri"/>
                <w:color w:val="333333"/>
                <w:shd w:val="clear" w:color="auto" w:fill="FFFFFF"/>
              </w:rPr>
              <w:t>for identifying the places in Scotland where people are experiencing disadvantage across different aspects of their lives.</w:t>
            </w:r>
            <w:r>
              <w:rPr>
                <w:rFonts w:ascii="Calibri" w:hAnsi="Calibri" w:cs="Calibri"/>
                <w:color w:val="000000"/>
              </w:rPr>
              <w:t xml:space="preserve"> According to this measure, 35 out of 92 of our children are living in SIMD 1-2, the most disadvantaged households. This represents 38% of all our children. The number of children in SIMD 9-10, the most advantaged households, is 22. This represents 24% of all our children. 23% of our children receive the school clothing grant and free school meals based on family income.</w:t>
            </w:r>
          </w:p>
          <w:p w14:paraId="568398CC" w14:textId="77777777" w:rsidR="009D13E6" w:rsidRDefault="009D13E6" w:rsidP="00AB2D07">
            <w:pPr>
              <w:pStyle w:val="NoSpacing"/>
            </w:pPr>
            <w:r>
              <w:t xml:space="preserve">There is a relentless focus on attendance. Currently 35 % of learners have an attendance below 95%. </w:t>
            </w:r>
          </w:p>
          <w:p w14:paraId="1189BAA8" w14:textId="77777777" w:rsidR="009D13E6" w:rsidRDefault="009D13E6" w:rsidP="00AB2D07">
            <w:pPr>
              <w:pStyle w:val="NoSpacing"/>
            </w:pPr>
            <w:r>
              <w:t xml:space="preserve">Our school attendance average is 92 % this is below the LA average by 3 ppt. </w:t>
            </w:r>
          </w:p>
          <w:p w14:paraId="6BCA6BC3" w14:textId="77777777" w:rsidR="009D13E6" w:rsidRDefault="009D13E6" w:rsidP="00AB2D07">
            <w:pPr>
              <w:pStyle w:val="NoSpacing"/>
            </w:pPr>
            <w:r>
              <w:t xml:space="preserve">Attendance is monitored daily and tracked monthly. The school works well with the School Welfare Officer and Early Intervention Team to support families. Parental holidays contributed to reduced attendance for our learners. </w:t>
            </w:r>
          </w:p>
          <w:p w14:paraId="4F950289" w14:textId="77777777" w:rsidR="009D13E6" w:rsidRDefault="009D13E6" w:rsidP="00AB2D07">
            <w:pPr>
              <w:pStyle w:val="NoSpacing"/>
            </w:pPr>
            <w:r>
              <w:t xml:space="preserve">We offer a Breakfast Club in the morning this is attended on average by 11 % of pupils. We are hoping to offer a sports breakfast club starting at 8am in August/ September. </w:t>
            </w:r>
          </w:p>
          <w:p w14:paraId="228F34C9" w14:textId="77777777" w:rsidR="009D13E6" w:rsidRDefault="009D13E6" w:rsidP="00AB2D07">
            <w:pPr>
              <w:pStyle w:val="NoSpacing"/>
            </w:pPr>
          </w:p>
          <w:p w14:paraId="6AE8D5E3" w14:textId="77777777" w:rsidR="009D13E6" w:rsidRDefault="009D13E6" w:rsidP="00AB2D07">
            <w:pPr>
              <w:pStyle w:val="NoSpacing"/>
            </w:pPr>
            <w:r>
              <w:t xml:space="preserve">Throughout the year we offer lunchtime and afterschool clubs these are mainly been sports based </w:t>
            </w:r>
          </w:p>
          <w:p w14:paraId="016261A0" w14:textId="77777777" w:rsidR="009D13E6" w:rsidRDefault="009D13E6" w:rsidP="00AB2D07">
            <w:pPr>
              <w:pStyle w:val="NoSpacing"/>
            </w:pPr>
            <w:r>
              <w:t xml:space="preserve">We have built up partner agency working with some of the Clubs that our children belong to. During Health Week these clubs offer us taster sessions. </w:t>
            </w:r>
          </w:p>
          <w:p w14:paraId="3647E9DA" w14:textId="77777777" w:rsidR="009D13E6" w:rsidRDefault="009D13E6" w:rsidP="00AB2D07">
            <w:pPr>
              <w:pStyle w:val="NoSpacing"/>
            </w:pPr>
          </w:p>
          <w:p w14:paraId="7FE328E8" w14:textId="77777777" w:rsidR="009D13E6" w:rsidRDefault="009D13E6" w:rsidP="00AB2D07">
            <w:pPr>
              <w:pStyle w:val="NoSpacing"/>
            </w:pPr>
          </w:p>
          <w:p w14:paraId="48A55A58" w14:textId="77777777" w:rsidR="009D13E6" w:rsidRDefault="009D13E6" w:rsidP="00AB2D07">
            <w:pPr>
              <w:rPr>
                <w:rFonts w:ascii="Tahoma" w:hAnsi="Tahoma" w:cs="Tahoma"/>
                <w:b/>
                <w:bCs/>
                <w:color w:val="000000"/>
                <w:sz w:val="20"/>
              </w:rPr>
            </w:pPr>
          </w:p>
          <w:p w14:paraId="0A87CACC" w14:textId="77777777" w:rsidR="009D13E6" w:rsidRDefault="009D13E6" w:rsidP="00AB2D07">
            <w:pPr>
              <w:rPr>
                <w:rFonts w:ascii="Tahoma" w:hAnsi="Tahoma" w:cs="Tahoma"/>
                <w:b/>
                <w:bCs/>
                <w:color w:val="000000"/>
                <w:sz w:val="20"/>
              </w:rPr>
            </w:pPr>
          </w:p>
          <w:p w14:paraId="167BAC02" w14:textId="77777777" w:rsidR="009D13E6" w:rsidRDefault="009D13E6" w:rsidP="00AB2D07">
            <w:pPr>
              <w:rPr>
                <w:rFonts w:ascii="Tahoma" w:hAnsi="Tahoma" w:cs="Tahoma"/>
                <w:b/>
                <w:bCs/>
                <w:color w:val="000000"/>
                <w:sz w:val="20"/>
              </w:rPr>
            </w:pPr>
          </w:p>
          <w:p w14:paraId="21828F89" w14:textId="77777777" w:rsidR="009D13E6" w:rsidRDefault="009D13E6" w:rsidP="00AB2D07">
            <w:pPr>
              <w:rPr>
                <w:rFonts w:ascii="Tahoma" w:hAnsi="Tahoma" w:cs="Tahoma"/>
                <w:b/>
                <w:bCs/>
                <w:color w:val="000000"/>
                <w:sz w:val="20"/>
              </w:rPr>
            </w:pPr>
            <w:r>
              <w:rPr>
                <w:rFonts w:ascii="Tahoma" w:hAnsi="Tahoma" w:cs="Tahoma"/>
                <w:b/>
                <w:bCs/>
                <w:color w:val="000000"/>
                <w:sz w:val="20"/>
              </w:rPr>
              <w:t>Priority One</w:t>
            </w:r>
          </w:p>
          <w:p w14:paraId="28C94733" w14:textId="77777777" w:rsidR="009D13E6" w:rsidRDefault="009D13E6" w:rsidP="00AB2D07">
            <w:r>
              <w:rPr>
                <w:rFonts w:ascii="Tahoma" w:hAnsi="Tahoma" w:cs="Tahoma"/>
                <w:b/>
                <w:bCs/>
                <w:color w:val="000000"/>
                <w:sz w:val="20"/>
              </w:rPr>
              <w:t xml:space="preserve">Attainment over time: Numeracy </w:t>
            </w:r>
          </w:p>
          <w:tbl>
            <w:tblPr>
              <w:tblW w:w="7569" w:type="dxa"/>
              <w:tblLayout w:type="fixed"/>
              <w:tblCellMar>
                <w:left w:w="10" w:type="dxa"/>
                <w:right w:w="10" w:type="dxa"/>
              </w:tblCellMar>
              <w:tblLook w:val="0000" w:firstRow="0" w:lastRow="0" w:firstColumn="0" w:lastColumn="0" w:noHBand="0" w:noVBand="0"/>
            </w:tblPr>
            <w:tblGrid>
              <w:gridCol w:w="967"/>
              <w:gridCol w:w="2249"/>
              <w:gridCol w:w="2672"/>
              <w:gridCol w:w="1681"/>
            </w:tblGrid>
            <w:tr w:rsidR="009D13E6" w14:paraId="7F1EE104" w14:textId="77777777" w:rsidTr="00AB2D07">
              <w:trPr>
                <w:trHeight w:val="358"/>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4CBD2D7E" w14:textId="77777777" w:rsidR="009D13E6" w:rsidRDefault="009D13E6" w:rsidP="00AB2D07">
                  <w:r>
                    <w:rPr>
                      <w:rFonts w:ascii="Calibri" w:hAnsi="Calibri" w:cs="Calibri"/>
                      <w:color w:val="000000"/>
                    </w:rPr>
                    <w:t>Year</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10871CEF" w14:textId="77777777" w:rsidR="009D13E6" w:rsidRDefault="009D13E6" w:rsidP="00AB2D07">
                  <w:r>
                    <w:rPr>
                      <w:rFonts w:ascii="Calibri" w:hAnsi="Calibri" w:cs="Calibri"/>
                      <w:color w:val="000000"/>
                    </w:rPr>
                    <w:t>Children in SIMD 1 &amp; 2</w:t>
                  </w:r>
                </w:p>
                <w:p w14:paraId="2A6DAE5A" w14:textId="77777777" w:rsidR="009D13E6" w:rsidRDefault="009D13E6" w:rsidP="00AB2D07">
                  <w:r>
                    <w:rPr>
                      <w:rFonts w:ascii="Calibri" w:hAnsi="Calibri" w:cs="Calibri"/>
                      <w:color w:val="000000"/>
                    </w:rPr>
                    <w:t>Achieving Levels</w:t>
                  </w:r>
                </w:p>
                <w:p w14:paraId="4CC68F02" w14:textId="77777777" w:rsidR="009D13E6" w:rsidRDefault="009D13E6" w:rsidP="00AB2D07">
                  <w:r>
                    <w:rPr>
                      <w:rFonts w:ascii="Calibri" w:hAnsi="Calibri" w:cs="Calibri"/>
                      <w:b/>
                      <w:bCs/>
                      <w:color w:val="000000"/>
                    </w:rPr>
                    <w:t>Numeracy</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7869112C" w14:textId="77777777" w:rsidR="009D13E6" w:rsidRDefault="009D13E6" w:rsidP="00AB2D07">
                  <w:r>
                    <w:rPr>
                      <w:rFonts w:ascii="Calibri" w:hAnsi="Calibri" w:cs="Calibri"/>
                      <w:color w:val="000000"/>
                    </w:rPr>
                    <w:t>Children in SIMD 9-10</w:t>
                  </w:r>
                </w:p>
                <w:p w14:paraId="71C4AFD4" w14:textId="77777777" w:rsidR="009D13E6" w:rsidRDefault="009D13E6" w:rsidP="00AB2D07">
                  <w:r>
                    <w:rPr>
                      <w:rFonts w:ascii="Calibri" w:hAnsi="Calibri" w:cs="Calibri"/>
                      <w:color w:val="000000"/>
                    </w:rPr>
                    <w:t>Achieving Level (nationally)</w:t>
                  </w:r>
                </w:p>
                <w:p w14:paraId="219A591F" w14:textId="77777777" w:rsidR="009D13E6" w:rsidRDefault="009D13E6" w:rsidP="00AB2D07">
                  <w:r>
                    <w:rPr>
                      <w:rFonts w:ascii="Calibri" w:hAnsi="Calibri" w:cs="Calibri"/>
                      <w:b/>
                      <w:bCs/>
                      <w:color w:val="000000"/>
                    </w:rPr>
                    <w:t>Numeracy</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3959AC8A" w14:textId="77777777" w:rsidR="009D13E6" w:rsidRDefault="009D13E6" w:rsidP="00AB2D07">
                  <w:r>
                    <w:rPr>
                      <w:rFonts w:ascii="Calibri" w:hAnsi="Calibri" w:cs="Calibri"/>
                      <w:color w:val="000000"/>
                    </w:rPr>
                    <w:t>Attainment GAP</w:t>
                  </w:r>
                </w:p>
                <w:p w14:paraId="403CFF67" w14:textId="77777777" w:rsidR="009D13E6" w:rsidRDefault="009D13E6" w:rsidP="00AB2D07">
                  <w:r>
                    <w:rPr>
                      <w:rFonts w:ascii="Calibri" w:hAnsi="Calibri" w:cs="Calibri"/>
                      <w:b/>
                      <w:bCs/>
                      <w:color w:val="000000"/>
                    </w:rPr>
                    <w:t>Numeracy</w:t>
                  </w:r>
                </w:p>
              </w:tc>
            </w:tr>
            <w:tr w:rsidR="009D13E6" w14:paraId="2D73B1E2" w14:textId="77777777" w:rsidTr="00AB2D07">
              <w:trPr>
                <w:trHeight w:val="339"/>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5EAB450C" w14:textId="77777777" w:rsidR="009D13E6" w:rsidRDefault="009D13E6" w:rsidP="00AB2D07">
                  <w:r>
                    <w:rPr>
                      <w:rFonts w:ascii="Calibri" w:hAnsi="Calibri" w:cs="Calibri"/>
                      <w:color w:val="000000"/>
                    </w:rPr>
                    <w:t>2021-22</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6B84BB18" w14:textId="77777777" w:rsidR="009D13E6" w:rsidRDefault="009D13E6" w:rsidP="00AB2D07">
                  <w:r>
                    <w:rPr>
                      <w:rFonts w:ascii="Calibri" w:hAnsi="Calibri" w:cs="Calibri"/>
                      <w:color w:val="000000"/>
                    </w:rPr>
                    <w:t>56%</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5E0A6A79" w14:textId="77777777" w:rsidR="009D13E6" w:rsidRDefault="009D13E6" w:rsidP="00AB2D07">
                  <w:r>
                    <w:rPr>
                      <w:rFonts w:ascii="Calibri" w:hAnsi="Calibri" w:cs="Calibri"/>
                      <w:color w:val="000000"/>
                    </w:rPr>
                    <w:t>86%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50A38D61" w14:textId="77777777" w:rsidR="009D13E6" w:rsidRDefault="009D13E6" w:rsidP="00AB2D07">
                  <w:r>
                    <w:rPr>
                      <w:rFonts w:ascii="Calibri" w:hAnsi="Calibri" w:cs="Calibri"/>
                      <w:b/>
                      <w:bCs/>
                      <w:color w:val="FF0000"/>
                    </w:rPr>
                    <w:t>30%</w:t>
                  </w:r>
                </w:p>
              </w:tc>
            </w:tr>
            <w:tr w:rsidR="009D13E6" w14:paraId="4DD8314B" w14:textId="77777777" w:rsidTr="00AB2D07">
              <w:trPr>
                <w:trHeight w:val="339"/>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4A7BF74E" w14:textId="77777777" w:rsidR="009D13E6" w:rsidRDefault="009D13E6" w:rsidP="00AB2D07">
                  <w:r>
                    <w:rPr>
                      <w:rFonts w:ascii="Calibri" w:hAnsi="Calibri" w:cs="Calibri"/>
                      <w:color w:val="000000"/>
                    </w:rPr>
                    <w:t>2022-23</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10CB3AC3" w14:textId="77777777" w:rsidR="009D13E6" w:rsidRDefault="009D13E6" w:rsidP="00AB2D07">
                  <w:r>
                    <w:rPr>
                      <w:rFonts w:ascii="Calibri" w:hAnsi="Calibri" w:cs="Calibri"/>
                      <w:color w:val="000000"/>
                    </w:rPr>
                    <w:t>78%</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5F9A12FF" w14:textId="77777777" w:rsidR="009D13E6" w:rsidRDefault="009D13E6" w:rsidP="00AB2D07">
                  <w:r>
                    <w:rPr>
                      <w:rFonts w:ascii="Calibri" w:hAnsi="Calibri" w:cs="Calibri"/>
                      <w:color w:val="000000"/>
                    </w:rPr>
                    <w:t>88%</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34D79768" w14:textId="77777777" w:rsidR="009D13E6" w:rsidRDefault="009D13E6" w:rsidP="00AB2D07">
                  <w:r>
                    <w:rPr>
                      <w:rFonts w:ascii="Calibri" w:hAnsi="Calibri" w:cs="Calibri"/>
                      <w:b/>
                      <w:bCs/>
                      <w:color w:val="FF0000"/>
                    </w:rPr>
                    <w:t>10%</w:t>
                  </w:r>
                </w:p>
              </w:tc>
            </w:tr>
            <w:tr w:rsidR="009D13E6" w14:paraId="33B9E1DE" w14:textId="77777777" w:rsidTr="00AB2D07">
              <w:trPr>
                <w:trHeight w:val="339"/>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79E7F324" w14:textId="77777777" w:rsidR="009D13E6" w:rsidRDefault="009D13E6" w:rsidP="00AB2D07">
                  <w:r>
                    <w:rPr>
                      <w:rFonts w:ascii="Calibri" w:hAnsi="Calibri" w:cs="Calibri"/>
                      <w:color w:val="000000"/>
                    </w:rPr>
                    <w:t>2023-24</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5267B7AB" w14:textId="77777777" w:rsidR="009D13E6" w:rsidRDefault="009D13E6" w:rsidP="00AB2D07">
                  <w:r>
                    <w:rPr>
                      <w:rFonts w:ascii="Calibri" w:hAnsi="Calibri" w:cs="Calibri"/>
                      <w:color w:val="000000"/>
                    </w:rPr>
                    <w:t>83%</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6FFE043E" w14:textId="77777777" w:rsidR="009D13E6" w:rsidRDefault="009D13E6" w:rsidP="00AB2D07">
                  <w:r>
                    <w:rPr>
                      <w:rFonts w:ascii="Calibri" w:hAnsi="Calibri" w:cs="Calibri"/>
                      <w:color w:val="000000"/>
                    </w:rPr>
                    <w:t>89%</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7EF5B8A7" w14:textId="77777777" w:rsidR="009D13E6" w:rsidRDefault="009D13E6" w:rsidP="00AB2D07">
                  <w:r>
                    <w:rPr>
                      <w:rFonts w:ascii="Calibri" w:hAnsi="Calibri" w:cs="Calibri"/>
                      <w:b/>
                      <w:bCs/>
                      <w:color w:val="FF0000"/>
                    </w:rPr>
                    <w:t>6%</w:t>
                  </w:r>
                </w:p>
              </w:tc>
            </w:tr>
            <w:tr w:rsidR="009D13E6" w14:paraId="0DD52CDD" w14:textId="77777777" w:rsidTr="00AB2D07">
              <w:trPr>
                <w:trHeight w:val="339"/>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7D1ADD95" w14:textId="77777777" w:rsidR="009D13E6" w:rsidRDefault="009D13E6" w:rsidP="00AB2D07">
                  <w:pPr>
                    <w:rPr>
                      <w:rFonts w:ascii="Calibri" w:hAnsi="Calibri" w:cs="Calibri"/>
                      <w:color w:val="000000"/>
                    </w:rPr>
                  </w:pPr>
                  <w:r>
                    <w:rPr>
                      <w:rFonts w:ascii="Calibri" w:hAnsi="Calibri" w:cs="Calibri"/>
                      <w:color w:val="000000"/>
                    </w:rPr>
                    <w:t>2024-25</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0AB39877" w14:textId="77777777" w:rsidR="009D13E6" w:rsidRDefault="009D13E6" w:rsidP="00AB2D07">
                  <w:pPr>
                    <w:rPr>
                      <w:rFonts w:ascii="Calibri" w:hAnsi="Calibri" w:cs="Calibri"/>
                      <w:color w:val="000000"/>
                    </w:rPr>
                  </w:pPr>
                  <w:r>
                    <w:rPr>
                      <w:rFonts w:ascii="Calibri" w:hAnsi="Calibri" w:cs="Calibri"/>
                      <w:color w:val="000000"/>
                    </w:rPr>
                    <w:t>76%</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26ECC01C" w14:textId="77777777" w:rsidR="009D13E6" w:rsidRDefault="009D13E6" w:rsidP="00AB2D07">
                  <w:pPr>
                    <w:rPr>
                      <w:rFonts w:ascii="Calibri" w:hAnsi="Calibri" w:cs="Calibri"/>
                      <w:color w:val="000000"/>
                    </w:rPr>
                  </w:pPr>
                  <w:r>
                    <w:rPr>
                      <w:rFonts w:ascii="Calibri" w:hAnsi="Calibri" w:cs="Calibri"/>
                      <w:color w:val="000000"/>
                    </w:rPr>
                    <w:t>89%</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53" w:type="dxa"/>
                    <w:left w:w="115" w:type="dxa"/>
                    <w:bottom w:w="0" w:type="dxa"/>
                    <w:right w:w="115" w:type="dxa"/>
                  </w:tcMar>
                </w:tcPr>
                <w:p w14:paraId="6392B275" w14:textId="77777777" w:rsidR="009D13E6" w:rsidRDefault="009D13E6" w:rsidP="00AB2D07">
                  <w:pPr>
                    <w:rPr>
                      <w:rFonts w:ascii="Calibri" w:hAnsi="Calibri" w:cs="Calibri"/>
                      <w:b/>
                      <w:bCs/>
                      <w:color w:val="FF0000"/>
                    </w:rPr>
                  </w:pPr>
                  <w:r>
                    <w:rPr>
                      <w:rFonts w:ascii="Calibri" w:hAnsi="Calibri" w:cs="Calibri"/>
                      <w:b/>
                      <w:bCs/>
                      <w:color w:val="FF0000"/>
                    </w:rPr>
                    <w:t>13%</w:t>
                  </w:r>
                </w:p>
              </w:tc>
            </w:tr>
          </w:tbl>
          <w:p w14:paraId="4626E583" w14:textId="77777777" w:rsidR="009D13E6" w:rsidRDefault="009D13E6" w:rsidP="00AB2D07">
            <w:pPr>
              <w:jc w:val="both"/>
              <w:rPr>
                <w:rFonts w:ascii="Times New Roman" w:hAnsi="Times New Roman"/>
                <w:szCs w:val="24"/>
              </w:rPr>
            </w:pPr>
          </w:p>
          <w:p w14:paraId="5D3FBA84" w14:textId="77777777" w:rsidR="009D13E6" w:rsidRPr="00773E30" w:rsidRDefault="009D13E6" w:rsidP="00AB2D07">
            <w:pPr>
              <w:pStyle w:val="NoSpacing"/>
              <w:rPr>
                <w:rFonts w:asciiTheme="minorHAnsi" w:hAnsiTheme="minorHAnsi" w:cstheme="minorHAnsi"/>
              </w:rPr>
            </w:pPr>
            <w:r w:rsidRPr="00773E30">
              <w:rPr>
                <w:rFonts w:asciiTheme="minorHAnsi" w:hAnsiTheme="minorHAnsi" w:cstheme="minorHAnsi"/>
              </w:rPr>
              <w:t>Over the past three sessions, our school has made significant progress in raising numeracy attainment, particularly for learners in SIMD Quintile 1. In 2024–25, our overall numeracy attainment stands at 78%, which is 4 percentage points above the Local Authority average of 74%, though still 2.5 points below the national average of 80.5%. Our SIMD 1&amp;2 cohort has shown improvement over time, rising from 56% in 2021–22 to a of 83% in 2023–24, before dipping to 76% in 2024–25. This has led to a corresponding shift in the poverty-related attainment gap, which narrowed to 6 percentage points last year but widened again to 13 percentage points this session when compared to SIMD 9–10 learners nationally at 89%. Our  Quintile 1 learners average a 17 ppt differential above the Local authority average.  While this reflects strong local performance, addressing the renewed attainment gap will remain a key priority moving forward.</w:t>
            </w:r>
          </w:p>
          <w:p w14:paraId="70E33151" w14:textId="77777777" w:rsidR="009D13E6" w:rsidRDefault="009D13E6" w:rsidP="00AB2D07">
            <w:pPr>
              <w:spacing w:after="200" w:line="276" w:lineRule="auto"/>
              <w:rPr>
                <w:rFonts w:ascii="Calibri" w:hAnsi="Calibri" w:cs="Calibri"/>
              </w:rPr>
            </w:pPr>
          </w:p>
        </w:tc>
      </w:tr>
      <w:tr w:rsidR="009D13E6" w14:paraId="24827809" w14:textId="77777777" w:rsidTr="00AB2D07">
        <w:tc>
          <w:tcPr>
            <w:tcW w:w="14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D66FF2" w14:textId="77777777" w:rsidR="009D13E6" w:rsidRDefault="009D13E6" w:rsidP="00AB2D07">
            <w:pPr>
              <w:rPr>
                <w:b/>
                <w:bCs/>
                <w:szCs w:val="24"/>
              </w:rPr>
            </w:pPr>
            <w:r>
              <w:rPr>
                <w:b/>
                <w:bCs/>
                <w:szCs w:val="24"/>
              </w:rPr>
              <w:lastRenderedPageBreak/>
              <w:t>RATIONALE</w:t>
            </w:r>
          </w:p>
          <w:p w14:paraId="52915FBE" w14:textId="1367283B" w:rsidR="009D13E6" w:rsidRPr="00773E30" w:rsidRDefault="009D13E6" w:rsidP="00AB2D07">
            <w:pPr>
              <w:rPr>
                <w:rFonts w:cstheme="minorHAnsi"/>
              </w:rPr>
            </w:pPr>
            <w:r w:rsidRPr="00773E30">
              <w:rPr>
                <w:rFonts w:cstheme="minorHAnsi"/>
              </w:rPr>
              <w:t>Based on our contextual analysis we will be using our PEF to improve numeracy attainment of our targeted group.</w:t>
            </w:r>
          </w:p>
          <w:p w14:paraId="2E12EB25" w14:textId="77777777" w:rsidR="009D13E6" w:rsidRPr="00773E30" w:rsidRDefault="009D13E6" w:rsidP="00AB2D07">
            <w:pPr>
              <w:spacing w:before="100" w:after="100"/>
              <w:rPr>
                <w:rFonts w:cstheme="minorHAnsi"/>
              </w:rPr>
            </w:pPr>
            <w:r w:rsidRPr="00773E30">
              <w:rPr>
                <w:rFonts w:cstheme="minorHAnsi"/>
              </w:rPr>
              <w:t>Our school remains firmly committed to improving numeracy outcomes for all learners, with a particular focus on reducing the poverty-related attainment gap. Despite strong progress in recent years, recent data shows a widening numeracy gap of 13 percentage points between our most and least disadvantaged learners. This highlights the ongoing need for targeted support to ensure equity in attainment.</w:t>
            </w:r>
          </w:p>
          <w:p w14:paraId="26D3AC3B" w14:textId="77777777" w:rsidR="009D13E6" w:rsidRPr="00773E30" w:rsidRDefault="009D13E6" w:rsidP="00AB2D07">
            <w:pPr>
              <w:spacing w:before="100" w:after="100"/>
              <w:rPr>
                <w:rFonts w:cstheme="minorHAnsi"/>
              </w:rPr>
            </w:pPr>
            <w:r w:rsidRPr="00773E30">
              <w:rPr>
                <w:rFonts w:cstheme="minorHAnsi"/>
              </w:rPr>
              <w:t>Analysing the data we have identified that 24% of our Quintile 1 learners are not on track to reach their expected levels in numeracy. 47% of our PEF learners live in Quintile 1.</w:t>
            </w:r>
          </w:p>
          <w:p w14:paraId="21831958" w14:textId="777F2D22" w:rsidR="009D13E6" w:rsidRPr="00773E30" w:rsidRDefault="009D13E6" w:rsidP="00AB2D07">
            <w:pPr>
              <w:spacing w:before="100" w:after="100"/>
              <w:rPr>
                <w:rFonts w:cstheme="minorHAnsi"/>
              </w:rPr>
            </w:pPr>
            <w:r w:rsidRPr="00773E30">
              <w:rPr>
                <w:rFonts w:cstheme="minorHAnsi"/>
              </w:rPr>
              <w:t>To address this, we are continuing a strategic programme of interventions. Pupil Equity Funding (PEF) is being used to employ skilled Learning Assistants who deliver targeted small-group and one-to-one support in numeracy, with a focus on learners in SIMD Quintile 1. These interventions are informed by data, and regularly tracked to ensure impact. We will invest in high-quality staff training, particularly around mental maths and developing conceptual understanding, to ensure consistent teaching approaches and improved learner confidence.</w:t>
            </w:r>
          </w:p>
          <w:p w14:paraId="3D700A81" w14:textId="64F3590D" w:rsidR="009D13E6" w:rsidRPr="00773E30" w:rsidRDefault="009D13E6" w:rsidP="00AB2D07">
            <w:pPr>
              <w:spacing w:before="100" w:after="100"/>
              <w:rPr>
                <w:rFonts w:cstheme="minorHAnsi"/>
              </w:rPr>
            </w:pPr>
            <w:r w:rsidRPr="00773E30">
              <w:rPr>
                <w:rFonts w:cstheme="minorHAnsi"/>
              </w:rPr>
              <w:t>Recognising the crucial role of families in supporting numeracy at home, we will also running family engagement initiatives. These include parent and carer workshops focused on practical strategies for helping with maths, demystifying numeracy methods, and building confidence in supporting children. These workshops will be  co-designed to meet families’ needs and scheduled flexibly to support attendance.</w:t>
            </w:r>
          </w:p>
          <w:p w14:paraId="0E4FBFEC" w14:textId="77777777" w:rsidR="009D13E6" w:rsidRDefault="009D13E6" w:rsidP="00AB2D07">
            <w:pPr>
              <w:spacing w:before="100" w:after="100"/>
              <w:rPr>
                <w:rFonts w:ascii="Times New Roman" w:hAnsi="Times New Roman"/>
                <w:szCs w:val="24"/>
              </w:rPr>
            </w:pPr>
            <w:r w:rsidRPr="00773E30">
              <w:rPr>
                <w:rFonts w:cstheme="minorHAnsi"/>
              </w:rPr>
              <w:t>We are also embedding numeracy across the curriculum and ensuring that staff work collaboratively to analyse progress, share effective practice, and use data to inform planning. Our approach is inclusive, responsive, and focused on long-term impact. Through this combination of high-quality teaching, targeted intervention, family partnership, and a sustained focus on equity, we aim to close the poverty-related attainment gap and ensure every learner can succeed in numeracy.</w:t>
            </w:r>
          </w:p>
        </w:tc>
      </w:tr>
    </w:tbl>
    <w:tbl>
      <w:tblPr>
        <w:tblStyle w:val="TableGrid"/>
        <w:tblpPr w:leftFromText="180" w:rightFromText="180" w:vertAnchor="page" w:horzAnchor="margin" w:tblpXSpec="center" w:tblpY="1801"/>
        <w:tblW w:w="0" w:type="auto"/>
        <w:shd w:val="clear" w:color="auto" w:fill="C9C9C9" w:themeFill="accent3" w:themeFillTint="99"/>
        <w:tblLook w:val="04A0" w:firstRow="1" w:lastRow="0" w:firstColumn="1" w:lastColumn="0" w:noHBand="0" w:noVBand="1"/>
      </w:tblPr>
      <w:tblGrid>
        <w:gridCol w:w="13946"/>
      </w:tblGrid>
      <w:tr w:rsidR="009D13E6" w:rsidRPr="00383971" w14:paraId="71066722" w14:textId="77777777" w:rsidTr="00AB2D07">
        <w:tc>
          <w:tcPr>
            <w:tcW w:w="13946" w:type="dxa"/>
            <w:shd w:val="clear" w:color="auto" w:fill="FFFFFF" w:themeFill="background1"/>
          </w:tcPr>
          <w:p w14:paraId="3C43A6B2" w14:textId="77777777" w:rsidR="009D13E6" w:rsidRPr="00AA3971" w:rsidRDefault="009D13E6" w:rsidP="00AB2D07">
            <w:pPr>
              <w:rPr>
                <w:rFonts w:ascii="Tahoma" w:eastAsia="Times New Roman" w:hAnsi="Tahoma" w:cs="Tahoma"/>
                <w:b/>
                <w:bCs/>
                <w:color w:val="000000"/>
                <w:sz w:val="20"/>
                <w:szCs w:val="20"/>
                <w:u w:val="single"/>
              </w:rPr>
            </w:pPr>
            <w:r w:rsidRPr="00AA3971">
              <w:rPr>
                <w:rFonts w:ascii="Tahoma" w:eastAsia="Times New Roman" w:hAnsi="Tahoma" w:cs="Tahoma"/>
                <w:b/>
                <w:bCs/>
                <w:color w:val="000000"/>
                <w:sz w:val="20"/>
                <w:szCs w:val="20"/>
                <w:u w:val="single"/>
              </w:rPr>
              <w:lastRenderedPageBreak/>
              <w:t xml:space="preserve">PRIORITY </w:t>
            </w:r>
            <w:r>
              <w:rPr>
                <w:rFonts w:ascii="Tahoma" w:eastAsia="Times New Roman" w:hAnsi="Tahoma" w:cs="Tahoma"/>
                <w:b/>
                <w:bCs/>
                <w:color w:val="000000"/>
                <w:sz w:val="20"/>
                <w:u w:val="single"/>
              </w:rPr>
              <w:t>TWO</w:t>
            </w:r>
          </w:p>
          <w:p w14:paraId="0A5EC1B3" w14:textId="77777777" w:rsidR="009D13E6" w:rsidRDefault="009D13E6" w:rsidP="00AB2D07">
            <w:pP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The </w:t>
            </w:r>
            <w:r w:rsidRPr="00FA089A">
              <w:rPr>
                <w:rFonts w:ascii="Tahoma" w:eastAsia="Times New Roman" w:hAnsi="Tahoma" w:cs="Tahoma"/>
                <w:b/>
                <w:bCs/>
                <w:color w:val="000000"/>
                <w:sz w:val="20"/>
                <w:szCs w:val="20"/>
              </w:rPr>
              <w:t xml:space="preserve">Attainment </w:t>
            </w:r>
            <w:r>
              <w:rPr>
                <w:rFonts w:ascii="Tahoma" w:eastAsia="Times New Roman" w:hAnsi="Tahoma" w:cs="Tahoma"/>
                <w:b/>
                <w:bCs/>
                <w:color w:val="000000"/>
                <w:sz w:val="20"/>
                <w:szCs w:val="20"/>
              </w:rPr>
              <w:t xml:space="preserve">Gap </w:t>
            </w:r>
            <w:r w:rsidRPr="00FA089A">
              <w:rPr>
                <w:rFonts w:ascii="Tahoma" w:eastAsia="Times New Roman" w:hAnsi="Tahoma" w:cs="Tahoma"/>
                <w:b/>
                <w:bCs/>
                <w:color w:val="000000"/>
                <w:sz w:val="20"/>
                <w:szCs w:val="20"/>
              </w:rPr>
              <w:t>over time:</w:t>
            </w:r>
          </w:p>
          <w:tbl>
            <w:tblPr>
              <w:tblW w:w="12973" w:type="dxa"/>
              <w:tblCellMar>
                <w:top w:w="15" w:type="dxa"/>
                <w:left w:w="15" w:type="dxa"/>
                <w:bottom w:w="15" w:type="dxa"/>
                <w:right w:w="15" w:type="dxa"/>
              </w:tblCellMar>
              <w:tblLook w:val="04A0" w:firstRow="1" w:lastRow="0" w:firstColumn="1" w:lastColumn="0" w:noHBand="0" w:noVBand="1"/>
            </w:tblPr>
            <w:tblGrid>
              <w:gridCol w:w="1133"/>
              <w:gridCol w:w="4404"/>
              <w:gridCol w:w="5468"/>
              <w:gridCol w:w="1968"/>
            </w:tblGrid>
            <w:tr w:rsidR="009D13E6" w:rsidRPr="00AA3971" w14:paraId="2B2C4F7B" w14:textId="77777777" w:rsidTr="00AB2D07">
              <w:trPr>
                <w:trHeight w:val="351"/>
              </w:trPr>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7039AAFE"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Year</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6F61D09A"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Children in SIMD 1 &amp; 2</w:t>
                  </w:r>
                  <w:r>
                    <w:rPr>
                      <w:rFonts w:ascii="Calibri" w:eastAsia="Times New Roman" w:hAnsi="Calibri" w:cs="Calibri"/>
                      <w:color w:val="000000"/>
                      <w:lang w:eastAsia="en-GB"/>
                    </w:rPr>
                    <w:t xml:space="preserve"> </w:t>
                  </w:r>
                  <w:r w:rsidRPr="00AA3971">
                    <w:rPr>
                      <w:rFonts w:ascii="Calibri" w:eastAsia="Times New Roman" w:hAnsi="Calibri" w:cs="Calibri"/>
                      <w:color w:val="000000"/>
                      <w:lang w:eastAsia="en-GB"/>
                    </w:rPr>
                    <w:t>Achieving Levels</w:t>
                  </w:r>
                </w:p>
                <w:p w14:paraId="168C8761"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b/>
                      <w:bCs/>
                      <w:color w:val="000000"/>
                      <w:lang w:eastAsia="en-GB"/>
                    </w:rPr>
                    <w:t>Writing</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28324937"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Children in SIMD 9-10</w:t>
                  </w:r>
                  <w:r>
                    <w:rPr>
                      <w:rFonts w:ascii="Calibri" w:eastAsia="Times New Roman" w:hAnsi="Calibri" w:cs="Calibri"/>
                      <w:color w:val="000000"/>
                      <w:lang w:eastAsia="en-GB"/>
                    </w:rPr>
                    <w:t xml:space="preserve"> </w:t>
                  </w:r>
                  <w:r w:rsidRPr="00AA3971">
                    <w:rPr>
                      <w:rFonts w:ascii="Calibri" w:eastAsia="Times New Roman" w:hAnsi="Calibri" w:cs="Calibri"/>
                      <w:color w:val="000000"/>
                      <w:lang w:eastAsia="en-GB"/>
                    </w:rPr>
                    <w:t>Achieving Level (nationally)</w:t>
                  </w:r>
                </w:p>
                <w:p w14:paraId="2C2F8691"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b/>
                      <w:bCs/>
                      <w:color w:val="000000"/>
                      <w:lang w:eastAsia="en-GB"/>
                    </w:rPr>
                    <w:t>Writing</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364A3C5F"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Attainment GAP</w:t>
                  </w:r>
                </w:p>
                <w:p w14:paraId="58FADE3A"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b/>
                      <w:bCs/>
                      <w:color w:val="000000"/>
                      <w:lang w:eastAsia="en-GB"/>
                    </w:rPr>
                    <w:t>Writing</w:t>
                  </w:r>
                </w:p>
              </w:tc>
            </w:tr>
            <w:tr w:rsidR="009D13E6" w:rsidRPr="00AA3971" w14:paraId="1388FA8B" w14:textId="77777777" w:rsidTr="00AB2D07">
              <w:trPr>
                <w:trHeight w:val="332"/>
              </w:trPr>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5DF1F78D"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2021-22</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26B2BC35"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67%</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31EB0AE1"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83%</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210D3A79"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b/>
                      <w:bCs/>
                      <w:color w:val="FF0000"/>
                      <w:lang w:eastAsia="en-GB"/>
                    </w:rPr>
                    <w:t>16%</w:t>
                  </w:r>
                </w:p>
              </w:tc>
            </w:tr>
            <w:tr w:rsidR="009D13E6" w:rsidRPr="00AA3971" w14:paraId="17613FC8" w14:textId="77777777" w:rsidTr="00AB2D07">
              <w:trPr>
                <w:trHeight w:val="332"/>
              </w:trPr>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09005E06"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2022-23</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6E23B025"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67%</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6A295C79"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84%</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4FCD707D"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b/>
                      <w:bCs/>
                      <w:color w:val="FF0000"/>
                      <w:lang w:eastAsia="en-GB"/>
                    </w:rPr>
                    <w:t>17%</w:t>
                  </w:r>
                </w:p>
              </w:tc>
            </w:tr>
            <w:tr w:rsidR="009D13E6" w:rsidRPr="00AA3971" w14:paraId="1D9DDD08" w14:textId="77777777" w:rsidTr="00AB2D07">
              <w:trPr>
                <w:trHeight w:val="332"/>
              </w:trPr>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08D8A35E"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2023-24</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79FFFA1A"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68%</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6C2AB70C"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color w:val="000000"/>
                      <w:lang w:eastAsia="en-GB"/>
                    </w:rPr>
                    <w:t>86%</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hideMark/>
                </w:tcPr>
                <w:p w14:paraId="3DBD2E16" w14:textId="77777777" w:rsidR="009D13E6" w:rsidRPr="00AA3971" w:rsidRDefault="009D13E6" w:rsidP="0056125D">
                  <w:pPr>
                    <w:framePr w:hSpace="180" w:wrap="around" w:vAnchor="page" w:hAnchor="margin" w:xAlign="center" w:y="1801"/>
                    <w:spacing w:after="0" w:line="240" w:lineRule="auto"/>
                    <w:rPr>
                      <w:rFonts w:ascii="Times New Roman" w:eastAsia="Times New Roman" w:hAnsi="Times New Roman" w:cs="Times New Roman"/>
                      <w:sz w:val="24"/>
                      <w:szCs w:val="24"/>
                      <w:lang w:eastAsia="en-GB"/>
                    </w:rPr>
                  </w:pPr>
                  <w:r w:rsidRPr="00AA3971">
                    <w:rPr>
                      <w:rFonts w:ascii="Calibri" w:eastAsia="Times New Roman" w:hAnsi="Calibri" w:cs="Calibri"/>
                      <w:b/>
                      <w:bCs/>
                      <w:color w:val="FF0000"/>
                      <w:lang w:eastAsia="en-GB"/>
                    </w:rPr>
                    <w:t>18%</w:t>
                  </w:r>
                </w:p>
              </w:tc>
            </w:tr>
            <w:tr w:rsidR="009D13E6" w:rsidRPr="00AA3971" w14:paraId="3C1B13B3" w14:textId="77777777" w:rsidTr="00AB2D07">
              <w:trPr>
                <w:trHeight w:val="332"/>
              </w:trPr>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tcPr>
                <w:p w14:paraId="4C3549FB" w14:textId="77777777" w:rsidR="009D13E6" w:rsidRPr="00AA3971" w:rsidRDefault="009D13E6" w:rsidP="0056125D">
                  <w:pPr>
                    <w:framePr w:hSpace="180" w:wrap="around" w:vAnchor="page" w:hAnchor="margin" w:xAlign="center" w:y="1801"/>
                    <w:rPr>
                      <w:rFonts w:ascii="Calibri" w:eastAsia="Times New Roman" w:hAnsi="Calibri" w:cs="Calibri"/>
                      <w:color w:val="000000"/>
                    </w:rPr>
                  </w:pPr>
                  <w:r>
                    <w:rPr>
                      <w:rFonts w:ascii="Calibri" w:eastAsia="Times New Roman" w:hAnsi="Calibri" w:cs="Calibri"/>
                      <w:color w:val="000000"/>
                    </w:rPr>
                    <w:t>2024-25</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tcPr>
                <w:p w14:paraId="3364065D" w14:textId="77777777" w:rsidR="009D13E6" w:rsidRPr="00AA3971" w:rsidRDefault="009D13E6" w:rsidP="0056125D">
                  <w:pPr>
                    <w:framePr w:hSpace="180" w:wrap="around" w:vAnchor="page" w:hAnchor="margin" w:xAlign="center" w:y="1801"/>
                    <w:rPr>
                      <w:rFonts w:ascii="Calibri" w:eastAsia="Times New Roman" w:hAnsi="Calibri" w:cs="Calibri"/>
                      <w:color w:val="000000"/>
                    </w:rPr>
                  </w:pPr>
                  <w:r>
                    <w:rPr>
                      <w:rFonts w:ascii="Calibri" w:eastAsia="Times New Roman" w:hAnsi="Calibri" w:cs="Calibri"/>
                      <w:color w:val="000000"/>
                    </w:rPr>
                    <w:t>70%</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tcPr>
                <w:p w14:paraId="1F54F202" w14:textId="77777777" w:rsidR="009D13E6" w:rsidRPr="00AA3971" w:rsidRDefault="009D13E6" w:rsidP="0056125D">
                  <w:pPr>
                    <w:framePr w:hSpace="180" w:wrap="around" w:vAnchor="page" w:hAnchor="margin" w:xAlign="center" w:y="1801"/>
                    <w:rPr>
                      <w:rFonts w:ascii="Calibri" w:eastAsia="Times New Roman" w:hAnsi="Calibri" w:cs="Calibri"/>
                      <w:color w:val="000000"/>
                    </w:rPr>
                  </w:pPr>
                  <w:r>
                    <w:rPr>
                      <w:rFonts w:ascii="Calibri" w:eastAsia="Times New Roman" w:hAnsi="Calibri" w:cs="Calibri"/>
                      <w:color w:val="000000"/>
                    </w:rPr>
                    <w:t>86%</w:t>
                  </w:r>
                </w:p>
              </w:tc>
              <w:tc>
                <w:tcPr>
                  <w:tcW w:w="0" w:type="auto"/>
                  <w:tcBorders>
                    <w:top w:val="single" w:sz="4" w:space="0" w:color="000000"/>
                    <w:left w:val="single" w:sz="4" w:space="0" w:color="000000"/>
                    <w:bottom w:val="single" w:sz="4" w:space="0" w:color="000000"/>
                    <w:right w:val="single" w:sz="4" w:space="0" w:color="000000"/>
                  </w:tcBorders>
                  <w:tcMar>
                    <w:top w:w="53" w:type="dxa"/>
                    <w:left w:w="115" w:type="dxa"/>
                    <w:bottom w:w="0" w:type="dxa"/>
                    <w:right w:w="115" w:type="dxa"/>
                  </w:tcMar>
                </w:tcPr>
                <w:p w14:paraId="18D4F080" w14:textId="77777777" w:rsidR="009D13E6" w:rsidRPr="00AA3971" w:rsidRDefault="009D13E6" w:rsidP="0056125D">
                  <w:pPr>
                    <w:framePr w:hSpace="180" w:wrap="around" w:vAnchor="page" w:hAnchor="margin" w:xAlign="center" w:y="1801"/>
                    <w:rPr>
                      <w:rFonts w:ascii="Calibri" w:eastAsia="Times New Roman" w:hAnsi="Calibri" w:cs="Calibri"/>
                      <w:b/>
                      <w:bCs/>
                      <w:color w:val="FF0000"/>
                    </w:rPr>
                  </w:pPr>
                  <w:r>
                    <w:rPr>
                      <w:rFonts w:ascii="Calibri" w:eastAsia="Times New Roman" w:hAnsi="Calibri" w:cs="Calibri"/>
                      <w:b/>
                      <w:bCs/>
                      <w:color w:val="FF0000"/>
                    </w:rPr>
                    <w:t>16%</w:t>
                  </w:r>
                </w:p>
              </w:tc>
            </w:tr>
          </w:tbl>
          <w:p w14:paraId="75CF9284" w14:textId="77777777" w:rsidR="009D13E6" w:rsidRDefault="009D13E6" w:rsidP="00AB2D07">
            <w:pPr>
              <w:rPr>
                <w:rFonts w:ascii="Tahoma" w:eastAsia="Times New Roman" w:hAnsi="Tahoma" w:cs="Tahoma"/>
                <w:b/>
                <w:bCs/>
                <w:color w:val="000000"/>
                <w:sz w:val="20"/>
                <w:szCs w:val="20"/>
              </w:rPr>
            </w:pPr>
          </w:p>
          <w:p w14:paraId="3734BFA6" w14:textId="77777777" w:rsidR="009D13E6" w:rsidRDefault="009D13E6" w:rsidP="00AB2D07">
            <w:pPr>
              <w:rPr>
                <w:rFonts w:eastAsia="Times New Roman" w:cstheme="minorHAnsi"/>
              </w:rPr>
            </w:pPr>
            <w:r w:rsidRPr="00AA3971">
              <w:rPr>
                <w:rFonts w:eastAsia="Times New Roman" w:cstheme="minorHAnsi"/>
              </w:rPr>
              <w:t xml:space="preserve">The </w:t>
            </w:r>
            <w:r>
              <w:rPr>
                <w:rFonts w:eastAsia="Times New Roman" w:cstheme="minorHAnsi"/>
              </w:rPr>
              <w:t>table above shows that the attainment gap calculated against the national figures is fairly consistent but our overall attainment in writing rose significantly last year and the table below shows that the increased success was not experienced equally by our children living in SIMD 1 &amp; 2:</w:t>
            </w:r>
          </w:p>
          <w:p w14:paraId="7DA91A25" w14:textId="77777777" w:rsidR="009D13E6" w:rsidRDefault="009D13E6" w:rsidP="00AB2D07">
            <w:pPr>
              <w:rPr>
                <w:rFonts w:eastAsia="Times New Roman" w:cstheme="minorHAnsi"/>
              </w:rPr>
            </w:pPr>
          </w:p>
          <w:p w14:paraId="5B5CEB49" w14:textId="77777777" w:rsidR="009D13E6" w:rsidRDefault="009D13E6" w:rsidP="00AB2D07">
            <w:pPr>
              <w:rPr>
                <w:rFonts w:eastAsia="Times New Roman" w:cstheme="minorHAnsi"/>
              </w:rPr>
            </w:pPr>
          </w:p>
          <w:tbl>
            <w:tblPr>
              <w:tblStyle w:val="TableGrid"/>
              <w:tblW w:w="0" w:type="auto"/>
              <w:tblLook w:val="04A0" w:firstRow="1" w:lastRow="0" w:firstColumn="1" w:lastColumn="0" w:noHBand="0" w:noVBand="1"/>
            </w:tblPr>
            <w:tblGrid>
              <w:gridCol w:w="2744"/>
              <w:gridCol w:w="2744"/>
              <w:gridCol w:w="2744"/>
              <w:gridCol w:w="2744"/>
              <w:gridCol w:w="2744"/>
            </w:tblGrid>
            <w:tr w:rsidR="009D13E6" w14:paraId="2EA77D55" w14:textId="77777777" w:rsidTr="00AB2D07">
              <w:tc>
                <w:tcPr>
                  <w:tcW w:w="2744" w:type="dxa"/>
                </w:tcPr>
                <w:p w14:paraId="16BB3473"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Year</w:t>
                  </w:r>
                </w:p>
              </w:tc>
              <w:tc>
                <w:tcPr>
                  <w:tcW w:w="2744" w:type="dxa"/>
                </w:tcPr>
                <w:p w14:paraId="26D7ECF5"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2021-22</w:t>
                  </w:r>
                </w:p>
              </w:tc>
              <w:tc>
                <w:tcPr>
                  <w:tcW w:w="2744" w:type="dxa"/>
                </w:tcPr>
                <w:p w14:paraId="44AA29ED"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2022-23</w:t>
                  </w:r>
                </w:p>
              </w:tc>
              <w:tc>
                <w:tcPr>
                  <w:tcW w:w="2744" w:type="dxa"/>
                </w:tcPr>
                <w:p w14:paraId="4F174868"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2023-24</w:t>
                  </w:r>
                </w:p>
              </w:tc>
              <w:tc>
                <w:tcPr>
                  <w:tcW w:w="2744" w:type="dxa"/>
                </w:tcPr>
                <w:p w14:paraId="4B41996B"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2024-25</w:t>
                  </w:r>
                </w:p>
              </w:tc>
            </w:tr>
            <w:tr w:rsidR="009D13E6" w14:paraId="1413E4AE" w14:textId="77777777" w:rsidTr="00AB2D07">
              <w:tc>
                <w:tcPr>
                  <w:tcW w:w="2744" w:type="dxa"/>
                </w:tcPr>
                <w:p w14:paraId="6A7FE916"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Writing- all our children</w:t>
                  </w:r>
                </w:p>
              </w:tc>
              <w:tc>
                <w:tcPr>
                  <w:tcW w:w="2744" w:type="dxa"/>
                </w:tcPr>
                <w:p w14:paraId="481DEE92"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69</w:t>
                  </w:r>
                </w:p>
              </w:tc>
              <w:tc>
                <w:tcPr>
                  <w:tcW w:w="2744" w:type="dxa"/>
                </w:tcPr>
                <w:p w14:paraId="3F56415D"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70</w:t>
                  </w:r>
                </w:p>
              </w:tc>
              <w:tc>
                <w:tcPr>
                  <w:tcW w:w="2744" w:type="dxa"/>
                </w:tcPr>
                <w:p w14:paraId="6B165CF5"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86</w:t>
                  </w:r>
                </w:p>
              </w:tc>
              <w:tc>
                <w:tcPr>
                  <w:tcW w:w="2744" w:type="dxa"/>
                </w:tcPr>
                <w:p w14:paraId="53F90A7B"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81</w:t>
                  </w:r>
                </w:p>
              </w:tc>
            </w:tr>
            <w:tr w:rsidR="009D13E6" w14:paraId="6F9D4348" w14:textId="77777777" w:rsidTr="00AB2D07">
              <w:tc>
                <w:tcPr>
                  <w:tcW w:w="2744" w:type="dxa"/>
                </w:tcPr>
                <w:p w14:paraId="5A38B270"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Writing- all our children SIMD 1 &amp;2</w:t>
                  </w:r>
                </w:p>
              </w:tc>
              <w:tc>
                <w:tcPr>
                  <w:tcW w:w="2744" w:type="dxa"/>
                </w:tcPr>
                <w:p w14:paraId="4C225A9D"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67</w:t>
                  </w:r>
                </w:p>
              </w:tc>
              <w:tc>
                <w:tcPr>
                  <w:tcW w:w="2744" w:type="dxa"/>
                </w:tcPr>
                <w:p w14:paraId="5CFB1066"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67</w:t>
                  </w:r>
                </w:p>
              </w:tc>
              <w:tc>
                <w:tcPr>
                  <w:tcW w:w="2744" w:type="dxa"/>
                </w:tcPr>
                <w:p w14:paraId="26B11151"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68</w:t>
                  </w:r>
                </w:p>
              </w:tc>
              <w:tc>
                <w:tcPr>
                  <w:tcW w:w="2744" w:type="dxa"/>
                </w:tcPr>
                <w:p w14:paraId="71F2185B" w14:textId="77777777" w:rsidR="009D13E6" w:rsidRDefault="009D13E6" w:rsidP="0056125D">
                  <w:pPr>
                    <w:framePr w:hSpace="180" w:wrap="around" w:vAnchor="page" w:hAnchor="margin" w:xAlign="center" w:y="1801"/>
                    <w:rPr>
                      <w:rFonts w:eastAsia="Times New Roman" w:cstheme="minorHAnsi"/>
                    </w:rPr>
                  </w:pPr>
                  <w:r>
                    <w:rPr>
                      <w:rFonts w:eastAsia="Times New Roman" w:cstheme="minorHAnsi"/>
                    </w:rPr>
                    <w:t>70</w:t>
                  </w:r>
                </w:p>
              </w:tc>
            </w:tr>
          </w:tbl>
          <w:p w14:paraId="7F2B1478" w14:textId="77777777" w:rsidR="009D13E6" w:rsidRDefault="009D13E6" w:rsidP="00AB2D07">
            <w:pPr>
              <w:rPr>
                <w:rFonts w:eastAsia="Times New Roman" w:cstheme="minorHAnsi"/>
              </w:rPr>
            </w:pPr>
          </w:p>
          <w:p w14:paraId="32BD2E6A" w14:textId="77777777" w:rsidR="009D13E6" w:rsidRPr="00FA089A" w:rsidRDefault="009D13E6" w:rsidP="00AB2D07">
            <w:pPr>
              <w:rPr>
                <w:rFonts w:eastAsia="Times New Roman" w:cstheme="minorHAnsi"/>
              </w:rPr>
            </w:pPr>
          </w:p>
          <w:p w14:paraId="1EAA64DD" w14:textId="77777777" w:rsidR="009D13E6" w:rsidRDefault="009D13E6" w:rsidP="00AB2D07">
            <w:pPr>
              <w:jc w:val="both"/>
              <w:rPr>
                <w:rFonts w:ascii="Tahoma" w:eastAsia="Times New Roman" w:hAnsi="Tahoma" w:cs="Tahoma"/>
                <w:color w:val="000000"/>
                <w:sz w:val="20"/>
                <w:szCs w:val="20"/>
              </w:rPr>
            </w:pPr>
          </w:p>
          <w:p w14:paraId="09EC2949" w14:textId="77777777" w:rsidR="009D13E6" w:rsidRPr="00FA089A" w:rsidRDefault="009D13E6" w:rsidP="00AB2D07">
            <w:pPr>
              <w:jc w:val="both"/>
              <w:rPr>
                <w:rFonts w:ascii="Times New Roman" w:eastAsia="Times New Roman" w:hAnsi="Times New Roman" w:cs="Times New Roman"/>
              </w:rPr>
            </w:pPr>
            <w:r>
              <w:rPr>
                <w:rFonts w:ascii="Tahoma" w:eastAsia="Times New Roman" w:hAnsi="Tahoma" w:cs="Tahoma"/>
                <w:color w:val="000000"/>
                <w:sz w:val="20"/>
                <w:szCs w:val="20"/>
              </w:rPr>
              <w:t>T</w:t>
            </w:r>
            <w:r w:rsidRPr="00FA089A">
              <w:rPr>
                <w:rFonts w:ascii="Tahoma" w:eastAsia="Times New Roman" w:hAnsi="Tahoma" w:cs="Tahoma"/>
                <w:color w:val="000000"/>
                <w:sz w:val="20"/>
                <w:szCs w:val="20"/>
              </w:rPr>
              <w:t>he data table above</w:t>
            </w:r>
            <w:r>
              <w:rPr>
                <w:rFonts w:ascii="Tahoma" w:eastAsia="Times New Roman" w:hAnsi="Tahoma" w:cs="Tahoma"/>
                <w:color w:val="000000"/>
                <w:sz w:val="20"/>
                <w:szCs w:val="20"/>
              </w:rPr>
              <w:t xml:space="preserve"> shows</w:t>
            </w:r>
            <w:r w:rsidRPr="00FA089A">
              <w:rPr>
                <w:rFonts w:ascii="Tahoma" w:eastAsia="Times New Roman" w:hAnsi="Tahoma" w:cs="Tahoma"/>
                <w:color w:val="000000"/>
                <w:sz w:val="20"/>
                <w:szCs w:val="20"/>
              </w:rPr>
              <w:t xml:space="preserve"> that this year’s improvement in writing attainment was not equitable -  children living in SIMD* 1 &amp; 2 did </w:t>
            </w:r>
            <w:r>
              <w:rPr>
                <w:rFonts w:ascii="Tahoma" w:eastAsia="Times New Roman" w:hAnsi="Tahoma" w:cs="Tahoma"/>
                <w:color w:val="000000"/>
                <w:sz w:val="20"/>
              </w:rPr>
              <w:t>increase slightly</w:t>
            </w:r>
            <w:r w:rsidRPr="00FA089A">
              <w:rPr>
                <w:rFonts w:ascii="Tahoma" w:eastAsia="Times New Roman" w:hAnsi="Tahoma" w:cs="Tahoma"/>
                <w:color w:val="000000"/>
                <w:sz w:val="20"/>
                <w:szCs w:val="20"/>
              </w:rPr>
              <w:t>. This was despite the targeted PEF-funded** support provided to our young writers who live in SIMD 1 &amp; 2. All teachers reported that their children who received the PEF-funded support showed improvement in confidence and in their writing skills, but this did not translate into the final Teacher Professional Judgements (TPJ). </w:t>
            </w:r>
          </w:p>
          <w:p w14:paraId="43F8956F" w14:textId="77777777" w:rsidR="009D13E6" w:rsidRPr="00FA089A" w:rsidRDefault="009D13E6" w:rsidP="00AB2D07">
            <w:pPr>
              <w:rPr>
                <w:rFonts w:ascii="Times New Roman" w:eastAsia="Times New Roman" w:hAnsi="Times New Roman" w:cs="Times New Roman"/>
              </w:rPr>
            </w:pPr>
          </w:p>
          <w:p w14:paraId="32899AD7" w14:textId="77777777" w:rsidR="009D13E6" w:rsidRDefault="009D13E6" w:rsidP="00AB2D07">
            <w:pPr>
              <w:jc w:val="both"/>
              <w:rPr>
                <w:rFonts w:ascii="Times New Roman" w:eastAsia="Times New Roman" w:hAnsi="Times New Roman" w:cs="Times New Roman"/>
              </w:rPr>
            </w:pPr>
            <w:r w:rsidRPr="00FA089A">
              <w:rPr>
                <w:rFonts w:ascii="Tahoma" w:eastAsia="Times New Roman" w:hAnsi="Tahoma" w:cs="Tahoma"/>
                <w:color w:val="000000"/>
                <w:sz w:val="20"/>
                <w:szCs w:val="20"/>
              </w:rPr>
              <w:t>To ensure that our children in SIMD 1 &amp; 2 enjoy more success in writing next year, we intend that the PEF-funded learning assistant will be</w:t>
            </w:r>
            <w:r>
              <w:rPr>
                <w:rFonts w:ascii="Tahoma" w:eastAsia="Times New Roman" w:hAnsi="Tahoma" w:cs="Tahoma"/>
                <w:color w:val="000000"/>
                <w:sz w:val="20"/>
                <w:szCs w:val="20"/>
              </w:rPr>
              <w:t xml:space="preserve"> working with teachers who are trained in </w:t>
            </w:r>
            <w:r w:rsidRPr="00FA089A">
              <w:rPr>
                <w:rFonts w:ascii="Tahoma" w:eastAsia="Times New Roman" w:hAnsi="Tahoma" w:cs="Tahoma"/>
                <w:color w:val="000000"/>
                <w:sz w:val="20"/>
                <w:szCs w:val="20"/>
              </w:rPr>
              <w:t xml:space="preserve">the strategies promoted by the Education Scotland National Writing Programme. The learning assistant will build on the working relationships she developed this year with all the targeted children and will further develop their skills in tools for writing through following the </w:t>
            </w:r>
            <w:r>
              <w:rPr>
                <w:rFonts w:ascii="Tahoma" w:eastAsia="Times New Roman" w:hAnsi="Tahoma" w:cs="Tahoma"/>
                <w:color w:val="000000"/>
                <w:sz w:val="20"/>
                <w:szCs w:val="20"/>
              </w:rPr>
              <w:t>advice of teachers trained</w:t>
            </w:r>
            <w:r w:rsidRPr="00FA089A">
              <w:rPr>
                <w:rFonts w:ascii="Tahoma" w:eastAsia="Times New Roman" w:hAnsi="Tahoma" w:cs="Tahoma"/>
                <w:color w:val="000000"/>
                <w:sz w:val="20"/>
                <w:szCs w:val="20"/>
              </w:rPr>
              <w:t xml:space="preserve"> in the National Writing Programme. The P</w:t>
            </w:r>
            <w:r>
              <w:rPr>
                <w:rFonts w:ascii="Tahoma" w:eastAsia="Times New Roman" w:hAnsi="Tahoma" w:cs="Tahoma"/>
                <w:color w:val="000000"/>
                <w:sz w:val="20"/>
              </w:rPr>
              <w:t>1</w:t>
            </w:r>
            <w:r w:rsidRPr="00FA089A">
              <w:rPr>
                <w:rFonts w:ascii="Tahoma" w:eastAsia="Times New Roman" w:hAnsi="Tahoma" w:cs="Tahoma"/>
                <w:color w:val="000000"/>
                <w:sz w:val="20"/>
                <w:szCs w:val="20"/>
              </w:rPr>
              <w:t xml:space="preserve">-P7 teachers will all be trained in the strategies promoted by the Education Scotland National Writing Programme. Our children will experience writing activities that are structured in the way recommended by Education Scotland. The PEF-funded learning assistant will work closely with the class teachers and will contribute to our tracking meetings so that there is a shared understanding of the gaps that need to be addressed </w:t>
            </w:r>
            <w:r>
              <w:rPr>
                <w:rFonts w:ascii="Tahoma" w:eastAsia="Times New Roman" w:hAnsi="Tahoma" w:cs="Tahoma"/>
                <w:color w:val="000000"/>
                <w:sz w:val="20"/>
                <w:szCs w:val="20"/>
              </w:rPr>
              <w:t>by the class teacher</w:t>
            </w:r>
            <w:r w:rsidRPr="00FA089A">
              <w:rPr>
                <w:rFonts w:ascii="Tahoma" w:eastAsia="Times New Roman" w:hAnsi="Tahoma" w:cs="Tahoma"/>
                <w:color w:val="000000"/>
                <w:sz w:val="20"/>
                <w:szCs w:val="20"/>
              </w:rPr>
              <w:t xml:space="preserve"> as well as through the additional support</w:t>
            </w:r>
            <w:r>
              <w:rPr>
                <w:rFonts w:ascii="Tahoma" w:eastAsia="Times New Roman" w:hAnsi="Tahoma" w:cs="Tahoma"/>
                <w:color w:val="000000"/>
                <w:sz w:val="20"/>
                <w:szCs w:val="20"/>
              </w:rPr>
              <w:t xml:space="preserve"> provided by the learning assistant</w:t>
            </w:r>
            <w:r w:rsidRPr="00FA089A">
              <w:rPr>
                <w:rFonts w:ascii="Tahoma" w:eastAsia="Times New Roman" w:hAnsi="Tahoma" w:cs="Tahoma"/>
                <w:color w:val="000000"/>
                <w:sz w:val="20"/>
                <w:szCs w:val="20"/>
              </w:rPr>
              <w:t>.</w:t>
            </w:r>
          </w:p>
          <w:p w14:paraId="640609F0" w14:textId="77777777" w:rsidR="009D13E6" w:rsidRDefault="009D13E6" w:rsidP="00AB2D07">
            <w:pPr>
              <w:jc w:val="both"/>
              <w:rPr>
                <w:rFonts w:ascii="Times New Roman" w:eastAsia="Times New Roman" w:hAnsi="Times New Roman" w:cs="Times New Roman"/>
              </w:rPr>
            </w:pPr>
          </w:p>
          <w:p w14:paraId="56B8223D" w14:textId="77777777" w:rsidR="009D13E6" w:rsidRPr="00383971" w:rsidRDefault="009D13E6" w:rsidP="00AB2D07">
            <w:pPr>
              <w:jc w:val="both"/>
              <w:rPr>
                <w:rFonts w:eastAsia="Times New Roman" w:cstheme="minorHAnsi"/>
              </w:rPr>
            </w:pPr>
          </w:p>
        </w:tc>
      </w:tr>
    </w:tbl>
    <w:p w14:paraId="1DAF6F8D" w14:textId="77777777" w:rsidR="009D13E6" w:rsidRDefault="009D13E6" w:rsidP="009D13E6">
      <w:pPr>
        <w:rPr>
          <w:b/>
          <w:bCs/>
          <w:sz w:val="40"/>
          <w:szCs w:val="40"/>
        </w:rPr>
      </w:pPr>
    </w:p>
    <w:p w14:paraId="6E5732C9" w14:textId="77777777" w:rsidR="009D13E6" w:rsidRDefault="009D13E6" w:rsidP="009D13E6">
      <w:pPr>
        <w:rPr>
          <w:b/>
          <w:bCs/>
          <w:sz w:val="40"/>
          <w:szCs w:val="40"/>
        </w:rPr>
      </w:pPr>
    </w:p>
    <w:tbl>
      <w:tblPr>
        <w:tblW w:w="13745" w:type="dxa"/>
        <w:tblLayout w:type="fixed"/>
        <w:tblCellMar>
          <w:left w:w="10" w:type="dxa"/>
          <w:right w:w="10" w:type="dxa"/>
        </w:tblCellMar>
        <w:tblLook w:val="0000" w:firstRow="0" w:lastRow="0" w:firstColumn="0" w:lastColumn="0" w:noHBand="0" w:noVBand="0"/>
      </w:tblPr>
      <w:tblGrid>
        <w:gridCol w:w="13745"/>
      </w:tblGrid>
      <w:tr w:rsidR="002149FB" w14:paraId="46B32A86" w14:textId="77777777" w:rsidTr="002149FB">
        <w:trPr>
          <w:trHeight w:val="1113"/>
        </w:trPr>
        <w:tc>
          <w:tcPr>
            <w:tcW w:w="13745" w:type="dxa"/>
            <w:tcBorders>
              <w:top w:val="single" w:sz="4" w:space="0" w:color="000000"/>
              <w:left w:val="single" w:sz="4" w:space="0" w:color="000000"/>
              <w:bottom w:val="single" w:sz="4" w:space="0" w:color="000000"/>
              <w:right w:val="single" w:sz="4" w:space="0" w:color="000000"/>
            </w:tcBorders>
            <w:shd w:val="clear" w:color="auto" w:fill="C2D69B"/>
            <w:tcMar>
              <w:top w:w="0" w:type="dxa"/>
              <w:left w:w="108" w:type="dxa"/>
              <w:bottom w:w="0" w:type="dxa"/>
              <w:right w:w="108" w:type="dxa"/>
            </w:tcMar>
          </w:tcPr>
          <w:p w14:paraId="22443C90" w14:textId="77777777" w:rsidR="002149FB" w:rsidRDefault="002149FB" w:rsidP="00AB2D07">
            <w:pPr>
              <w:rPr>
                <w:b/>
                <w:bCs/>
              </w:rPr>
            </w:pPr>
            <w:r>
              <w:rPr>
                <w:b/>
                <w:bCs/>
              </w:rPr>
              <w:t>IDENTIFIED GAP/BARRIER</w:t>
            </w:r>
          </w:p>
        </w:tc>
      </w:tr>
      <w:tr w:rsidR="002149FB" w14:paraId="7449EBC6" w14:textId="77777777" w:rsidTr="0056125D">
        <w:trPr>
          <w:trHeight w:val="1575"/>
        </w:trPr>
        <w:tc>
          <w:tcPr>
            <w:tcW w:w="1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8F48" w14:textId="1DDB187E" w:rsidR="002149FB" w:rsidRPr="002149FB" w:rsidRDefault="002149FB" w:rsidP="00AB2D07">
            <w:pPr>
              <w:spacing w:before="100" w:beforeAutospacing="1" w:after="100" w:afterAutospacing="1"/>
              <w:rPr>
                <w:rFonts w:eastAsia="Times New Roman" w:cstheme="minorHAnsi"/>
                <w:color w:val="000000"/>
                <w:sz w:val="24"/>
                <w:szCs w:val="24"/>
                <w:lang w:eastAsia="en-GB"/>
              </w:rPr>
            </w:pPr>
            <w:r w:rsidRPr="002149FB">
              <w:rPr>
                <w:rFonts w:eastAsia="Times New Roman" w:cstheme="minorHAnsi"/>
                <w:color w:val="000000"/>
                <w:sz w:val="24"/>
                <w:szCs w:val="24"/>
                <w:lang w:eastAsia="en-GB"/>
              </w:rPr>
              <w:t>PEF PRIORITY</w:t>
            </w:r>
            <w:r w:rsidRPr="002149FB">
              <w:rPr>
                <w:rFonts w:eastAsia="Times New Roman" w:cstheme="minorHAnsi"/>
                <w:color w:val="000000"/>
                <w:sz w:val="24"/>
                <w:szCs w:val="24"/>
              </w:rPr>
              <w:t xml:space="preserve"> TWO</w:t>
            </w:r>
          </w:p>
          <w:p w14:paraId="3AC2BCC3" w14:textId="794766F2" w:rsidR="002149FB" w:rsidRPr="002149FB" w:rsidRDefault="002149FB" w:rsidP="00AB2D07">
            <w:pPr>
              <w:spacing w:before="100" w:after="100"/>
              <w:rPr>
                <w:rFonts w:cstheme="minorHAnsi"/>
                <w:color w:val="000000"/>
                <w:sz w:val="24"/>
                <w:szCs w:val="24"/>
              </w:rPr>
            </w:pPr>
            <w:r w:rsidRPr="002149FB">
              <w:rPr>
                <w:rFonts w:cstheme="minorHAnsi"/>
                <w:color w:val="000000"/>
                <w:sz w:val="24"/>
                <w:szCs w:val="24"/>
              </w:rPr>
              <w:t>The impact of poverty on numeracy</w:t>
            </w:r>
            <w:r>
              <w:rPr>
                <w:rFonts w:cstheme="minorHAnsi"/>
                <w:color w:val="000000"/>
                <w:sz w:val="24"/>
                <w:szCs w:val="24"/>
              </w:rPr>
              <w:t>.</w:t>
            </w:r>
          </w:p>
          <w:p w14:paraId="56A2B6AA" w14:textId="35C63E92" w:rsidR="002149FB" w:rsidRPr="002149FB" w:rsidRDefault="002149FB" w:rsidP="002149FB">
            <w:pPr>
              <w:shd w:val="clear" w:color="auto" w:fill="FFFFFF"/>
              <w:rPr>
                <w:rFonts w:cstheme="minorHAnsi"/>
                <w:sz w:val="24"/>
                <w:szCs w:val="24"/>
              </w:rPr>
            </w:pPr>
            <w:r w:rsidRPr="002149FB">
              <w:rPr>
                <w:rFonts w:eastAsia="Tahoma" w:cstheme="minorHAnsi"/>
                <w:sz w:val="24"/>
                <w:szCs w:val="24"/>
              </w:rPr>
              <w:t>The difference in attainment between our Quintile 1 learners, 76%, and the National Average of learners in Quintile 5 of 89%</w:t>
            </w:r>
            <w:r>
              <w:rPr>
                <w:rFonts w:eastAsia="Tahoma" w:cstheme="minorHAnsi"/>
                <w:sz w:val="24"/>
                <w:szCs w:val="24"/>
              </w:rPr>
              <w:t xml:space="preserve"> (13%)</w:t>
            </w:r>
          </w:p>
        </w:tc>
      </w:tr>
      <w:tr w:rsidR="002149FB" w14:paraId="59B4E9A6" w14:textId="77777777" w:rsidTr="0056125D">
        <w:trPr>
          <w:trHeight w:val="1838"/>
        </w:trPr>
        <w:tc>
          <w:tcPr>
            <w:tcW w:w="1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A691" w14:textId="77777777" w:rsidR="002149FB" w:rsidRPr="002149FB" w:rsidRDefault="002149FB" w:rsidP="002149FB">
            <w:pPr>
              <w:spacing w:before="100" w:beforeAutospacing="1" w:after="100" w:afterAutospacing="1"/>
              <w:rPr>
                <w:rFonts w:eastAsia="Times New Roman" w:cstheme="minorHAnsi"/>
                <w:color w:val="000000"/>
                <w:sz w:val="24"/>
                <w:szCs w:val="24"/>
                <w:lang w:eastAsia="en-GB"/>
              </w:rPr>
            </w:pPr>
            <w:r w:rsidRPr="002149FB">
              <w:rPr>
                <w:rFonts w:eastAsia="Times New Roman" w:cstheme="minorHAnsi"/>
                <w:color w:val="000000"/>
                <w:sz w:val="24"/>
                <w:szCs w:val="24"/>
                <w:lang w:eastAsia="en-GB"/>
              </w:rPr>
              <w:t>PEF PRIORITY</w:t>
            </w:r>
            <w:r w:rsidRPr="002149FB">
              <w:rPr>
                <w:rFonts w:eastAsia="Times New Roman" w:cstheme="minorHAnsi"/>
                <w:color w:val="000000"/>
                <w:sz w:val="24"/>
                <w:szCs w:val="24"/>
              </w:rPr>
              <w:t xml:space="preserve"> TWO</w:t>
            </w:r>
          </w:p>
          <w:p w14:paraId="28B9805A" w14:textId="77777777" w:rsidR="0056125D" w:rsidRDefault="002149FB" w:rsidP="00AB2D07">
            <w:pPr>
              <w:spacing w:before="100" w:beforeAutospacing="1" w:after="100" w:afterAutospacing="1"/>
              <w:rPr>
                <w:rFonts w:eastAsia="Times New Roman" w:cstheme="minorHAnsi"/>
                <w:color w:val="000000"/>
                <w:sz w:val="24"/>
                <w:szCs w:val="24"/>
                <w:lang w:eastAsia="en-GB"/>
              </w:rPr>
            </w:pPr>
            <w:r w:rsidRPr="002149FB">
              <w:rPr>
                <w:rFonts w:eastAsia="Times New Roman" w:cstheme="minorHAnsi"/>
                <w:color w:val="000000"/>
                <w:sz w:val="24"/>
                <w:szCs w:val="24"/>
                <w:lang w:eastAsia="en-GB"/>
              </w:rPr>
              <w:t>The impact of poverty on writing</w:t>
            </w:r>
          </w:p>
          <w:p w14:paraId="7BE34AAE" w14:textId="48A2CDAF" w:rsidR="002149FB" w:rsidRPr="0056125D" w:rsidRDefault="002149FB" w:rsidP="00AB2D07">
            <w:pPr>
              <w:spacing w:before="100" w:beforeAutospacing="1" w:after="100" w:afterAutospacing="1"/>
              <w:rPr>
                <w:rFonts w:eastAsia="Times New Roman" w:cstheme="minorHAnsi"/>
                <w:color w:val="000000"/>
                <w:sz w:val="24"/>
                <w:szCs w:val="24"/>
                <w:lang w:eastAsia="en-GB"/>
              </w:rPr>
            </w:pPr>
            <w:r w:rsidRPr="002149FB">
              <w:rPr>
                <w:rFonts w:eastAsia="Tahoma" w:cstheme="minorHAnsi"/>
                <w:sz w:val="24"/>
                <w:szCs w:val="24"/>
              </w:rPr>
              <w:t>The difference in attainment between our Quintile 1 learners, 7</w:t>
            </w:r>
            <w:r>
              <w:rPr>
                <w:rFonts w:eastAsia="Tahoma" w:cstheme="minorHAnsi"/>
                <w:sz w:val="24"/>
                <w:szCs w:val="24"/>
              </w:rPr>
              <w:t>0</w:t>
            </w:r>
            <w:r w:rsidRPr="002149FB">
              <w:rPr>
                <w:rFonts w:eastAsia="Tahoma" w:cstheme="minorHAnsi"/>
                <w:sz w:val="24"/>
                <w:szCs w:val="24"/>
              </w:rPr>
              <w:t>%, and the National Average of learners in Quintile 5 of 8</w:t>
            </w:r>
            <w:r>
              <w:rPr>
                <w:rFonts w:eastAsia="Tahoma" w:cstheme="minorHAnsi"/>
                <w:sz w:val="24"/>
                <w:szCs w:val="24"/>
              </w:rPr>
              <w:t>6</w:t>
            </w:r>
            <w:r w:rsidRPr="002149FB">
              <w:rPr>
                <w:rFonts w:eastAsia="Tahoma" w:cstheme="minorHAnsi"/>
                <w:sz w:val="24"/>
                <w:szCs w:val="24"/>
              </w:rPr>
              <w:t>%</w:t>
            </w:r>
            <w:r>
              <w:rPr>
                <w:rFonts w:eastAsia="Tahoma" w:cstheme="minorHAnsi"/>
                <w:sz w:val="24"/>
                <w:szCs w:val="24"/>
              </w:rPr>
              <w:t xml:space="preserve"> (16%)</w:t>
            </w:r>
          </w:p>
        </w:tc>
      </w:tr>
    </w:tbl>
    <w:p w14:paraId="66E64F9F" w14:textId="77777777" w:rsidR="009D13E6" w:rsidRDefault="009D13E6" w:rsidP="009D13E6"/>
    <w:p w14:paraId="50A46D67" w14:textId="77777777" w:rsidR="009D13E6" w:rsidRDefault="009D13E6"/>
    <w:sectPr w:rsidR="009D13E6" w:rsidSect="009D13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E6"/>
    <w:rsid w:val="001641FE"/>
    <w:rsid w:val="002149FB"/>
    <w:rsid w:val="00281DBA"/>
    <w:rsid w:val="003731D9"/>
    <w:rsid w:val="0056125D"/>
    <w:rsid w:val="00810AC3"/>
    <w:rsid w:val="008C338A"/>
    <w:rsid w:val="009D1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3748"/>
  <w15:chartTrackingRefBased/>
  <w15:docId w15:val="{A2F3A86C-413E-4C29-9405-9244E87D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3E6"/>
    <w:pPr>
      <w:spacing w:after="0" w:line="240" w:lineRule="auto"/>
    </w:pPr>
    <w:rPr>
      <w:rFonts w:ascii="Arial" w:eastAsia="Arial" w:hAnsi="Arial" w:cs="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D13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rsid w:val="009D13E6"/>
    <w:pPr>
      <w:suppressAutoHyphens/>
      <w:autoSpaceDN w:val="0"/>
      <w:spacing w:after="0" w:line="240" w:lineRule="auto"/>
    </w:pPr>
    <w:rPr>
      <w:rFonts w:ascii="Aptos" w:eastAsia="Times New Roman"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Mcdonald</dc:creator>
  <cp:keywords/>
  <dc:description/>
  <cp:lastModifiedBy>Kirsty Mcdonald</cp:lastModifiedBy>
  <cp:revision>3</cp:revision>
  <dcterms:created xsi:type="dcterms:W3CDTF">2025-11-27T13:30:00Z</dcterms:created>
  <dcterms:modified xsi:type="dcterms:W3CDTF">2025-12-01T13:56:00Z</dcterms:modified>
</cp:coreProperties>
</file>