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16" w:rsidRDefault="00D97C3B" w:rsidP="00D97C3B">
      <w:pPr>
        <w:pStyle w:val="Heading2"/>
        <w:spacing w:after="418"/>
        <w:ind w:left="0" w:right="0" w:firstLine="0"/>
      </w:pPr>
      <w:r>
        <w:t xml:space="preserve">                                                             </w:t>
      </w:r>
      <w:r w:rsidR="00A23B39">
        <w:t>Standards and Quality Report 2019-2020</w:t>
      </w:r>
    </w:p>
    <w:p w:rsidR="002B2116" w:rsidRDefault="00A23B39">
      <w:pPr>
        <w:spacing w:after="212" w:line="248" w:lineRule="auto"/>
        <w:ind w:left="10" w:right="666" w:hanging="10"/>
      </w:pPr>
      <w:r>
        <w:rPr>
          <w:b/>
          <w:sz w:val="24"/>
        </w:rPr>
        <w:t xml:space="preserve">Establishment Name: </w:t>
      </w:r>
      <w:r w:rsidR="00D97C3B">
        <w:rPr>
          <w:sz w:val="24"/>
        </w:rPr>
        <w:t xml:space="preserve">   </w:t>
      </w:r>
      <w:r w:rsidR="00D97C3B" w:rsidRPr="00D97C3B">
        <w:rPr>
          <w:b/>
          <w:sz w:val="24"/>
        </w:rPr>
        <w:t>St Bernadette’s RCPS</w:t>
      </w:r>
    </w:p>
    <w:p w:rsidR="002B2116" w:rsidRDefault="00A23B39">
      <w:pPr>
        <w:spacing w:after="8" w:line="248" w:lineRule="auto"/>
        <w:ind w:left="10" w:hanging="10"/>
      </w:pPr>
      <w:r>
        <w:rPr>
          <w:sz w:val="24"/>
        </w:rPr>
        <w:t>This report reflects progress made towards achieving our priorities, session 2019-2020, up until schools closed on 20</w:t>
      </w:r>
      <w:r>
        <w:rPr>
          <w:sz w:val="18"/>
          <w:vertAlign w:val="superscript"/>
        </w:rPr>
        <w:t>th</w:t>
      </w:r>
      <w:r>
        <w:rPr>
          <w:sz w:val="24"/>
        </w:rPr>
        <w:t xml:space="preserve"> March.  Also included is our response to supporting learners and their families throughout the COVID-19 crisis.</w:t>
      </w:r>
    </w:p>
    <w:tbl>
      <w:tblPr>
        <w:tblStyle w:val="TableGrid"/>
        <w:tblW w:w="15559" w:type="dxa"/>
        <w:tblInd w:w="-115" w:type="dxa"/>
        <w:tblCellMar>
          <w:top w:w="67" w:type="dxa"/>
          <w:left w:w="115" w:type="dxa"/>
          <w:right w:w="115" w:type="dxa"/>
        </w:tblCellMar>
        <w:tblLook w:val="04A0" w:firstRow="1" w:lastRow="0" w:firstColumn="1" w:lastColumn="0" w:noHBand="0" w:noVBand="1"/>
      </w:tblPr>
      <w:tblGrid>
        <w:gridCol w:w="15559"/>
      </w:tblGrid>
      <w:tr w:rsidR="002B2116">
        <w:trPr>
          <w:trHeight w:val="454"/>
        </w:trPr>
        <w:tc>
          <w:tcPr>
            <w:tcW w:w="15559" w:type="dxa"/>
            <w:tcBorders>
              <w:top w:val="single" w:sz="4" w:space="0" w:color="000000"/>
              <w:left w:val="single" w:sz="4" w:space="0" w:color="000000"/>
              <w:bottom w:val="single" w:sz="4" w:space="0" w:color="000000"/>
              <w:right w:val="single" w:sz="4" w:space="0" w:color="000000"/>
            </w:tcBorders>
            <w:shd w:val="clear" w:color="auto" w:fill="F2DBDB"/>
          </w:tcPr>
          <w:p w:rsidR="002B2116" w:rsidRDefault="00A23B39">
            <w:r>
              <w:rPr>
                <w:b/>
                <w:sz w:val="24"/>
              </w:rPr>
              <w:t>Section B1 - School Context</w:t>
            </w:r>
          </w:p>
        </w:tc>
      </w:tr>
      <w:tr w:rsidR="002B2116">
        <w:trPr>
          <w:trHeight w:val="4631"/>
        </w:trPr>
        <w:tc>
          <w:tcPr>
            <w:tcW w:w="15559" w:type="dxa"/>
            <w:tcBorders>
              <w:top w:val="single" w:sz="4" w:space="0" w:color="000000"/>
              <w:left w:val="single" w:sz="4" w:space="0" w:color="000000"/>
              <w:bottom w:val="single" w:sz="4" w:space="0" w:color="000000"/>
              <w:right w:val="single" w:sz="4" w:space="0" w:color="000000"/>
            </w:tcBorders>
          </w:tcPr>
          <w:p w:rsidR="00210CA2" w:rsidRPr="00FD38D4" w:rsidRDefault="00210CA2" w:rsidP="004D713C">
            <w:pPr>
              <w:ind w:left="340" w:right="340"/>
              <w:jc w:val="both"/>
              <w:rPr>
                <w:b/>
              </w:rPr>
            </w:pPr>
            <w:r w:rsidRPr="00FD38D4">
              <w:rPr>
                <w:b/>
              </w:rPr>
              <w:t>Our Context</w:t>
            </w:r>
          </w:p>
          <w:p w:rsidR="00210CA2" w:rsidRPr="00FD38D4" w:rsidRDefault="00210CA2" w:rsidP="004D713C">
            <w:pPr>
              <w:ind w:left="340" w:right="340"/>
              <w:jc w:val="both"/>
            </w:pPr>
            <w:r w:rsidRPr="10E44481">
              <w:t>St. Bernadette’s RC Primary is a denominational school serving Alva, Menstrie and Tullibody. We are situated at the foot of the Ochil Hills, We have strong links to our parish and local communi</w:t>
            </w:r>
            <w:r>
              <w:t>ty. The school roll in June 2019 was 128</w:t>
            </w:r>
            <w:r w:rsidRPr="10E44481">
              <w:t xml:space="preserve">. Our associated denominational high school is St. Modan’s RC High School. </w:t>
            </w:r>
          </w:p>
          <w:p w:rsidR="00210CA2" w:rsidRPr="00FD38D4" w:rsidRDefault="00210CA2" w:rsidP="004D713C">
            <w:pPr>
              <w:ind w:left="340" w:right="340"/>
              <w:jc w:val="both"/>
            </w:pPr>
            <w:r>
              <w:t xml:space="preserve">2019-20 was an extremely busy year as we settled into </w:t>
            </w:r>
            <w:r w:rsidRPr="00FD38D4">
              <w:t xml:space="preserve">our new home in the Tullibody South Campus. </w:t>
            </w:r>
            <w:r>
              <w:t>Then, in March 2020, the Covid-19 pandemic forced schools to close the buildings and move online.</w:t>
            </w:r>
          </w:p>
          <w:p w:rsidR="00210CA2" w:rsidRPr="00FD38D4" w:rsidRDefault="00210CA2" w:rsidP="004D713C">
            <w:pPr>
              <w:ind w:left="340" w:right="340"/>
              <w:jc w:val="both"/>
              <w:rPr>
                <w:rFonts w:ascii="Comic Sans MS" w:hAnsi="Comic Sans MS"/>
                <w:b/>
              </w:rPr>
            </w:pPr>
          </w:p>
          <w:p w:rsidR="00210CA2" w:rsidRPr="00FD38D4" w:rsidRDefault="00210CA2" w:rsidP="004D713C">
            <w:pPr>
              <w:ind w:left="340" w:right="340"/>
              <w:jc w:val="both"/>
              <w:rPr>
                <w:b/>
              </w:rPr>
            </w:pPr>
            <w:r w:rsidRPr="00FD38D4">
              <w:rPr>
                <w:b/>
              </w:rPr>
              <w:t>School Vision and Aims</w:t>
            </w:r>
          </w:p>
          <w:p w:rsidR="00210CA2" w:rsidRPr="00FD38D4" w:rsidRDefault="00210CA2" w:rsidP="004D713C">
            <w:pPr>
              <w:ind w:left="340" w:right="340"/>
              <w:jc w:val="both"/>
              <w:rPr>
                <w:rFonts w:cs="Arial"/>
              </w:rPr>
            </w:pPr>
            <w:r w:rsidRPr="00FD38D4">
              <w:rPr>
                <w:rFonts w:cs="Arial"/>
              </w:rPr>
              <w:t xml:space="preserve">Our ethos is rooted in our Faith. All members of our school community are encouraged to live the Gospel Values, loving and supporting each other while striving to develop our unique gifts and abilities. We aim to enable each of our children to achieve their God – given potential. </w:t>
            </w:r>
          </w:p>
          <w:tbl>
            <w:tblPr>
              <w:tblStyle w:val="TableGrid0"/>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3"/>
              <w:gridCol w:w="3916"/>
            </w:tblGrid>
            <w:tr w:rsidR="00E27470" w:rsidTr="00E27470">
              <w:tc>
                <w:tcPr>
                  <w:tcW w:w="11753" w:type="dxa"/>
                </w:tcPr>
                <w:p w:rsidR="00DB3584" w:rsidRDefault="002F1A26" w:rsidP="00432E82">
                  <w:pPr>
                    <w:ind w:left="340" w:right="340"/>
                    <w:jc w:val="both"/>
                    <w:rPr>
                      <w:noProof/>
                      <w:lang w:eastAsia="en-GB"/>
                    </w:rPr>
                  </w:pPr>
                  <w:r w:rsidRPr="00FD38D4">
                    <w:rPr>
                      <w:noProof/>
                      <w:lang w:eastAsia="en-GB"/>
                    </w:rPr>
                    <w:t xml:space="preserve"> </w:t>
                  </w:r>
                </w:p>
                <w:p w:rsidR="00432E82" w:rsidRPr="00FD38D4" w:rsidRDefault="00432E82" w:rsidP="00432E82">
                  <w:pPr>
                    <w:ind w:left="340" w:right="340"/>
                    <w:jc w:val="both"/>
                    <w:rPr>
                      <w:rFonts w:cs="Arial"/>
                    </w:rPr>
                  </w:pPr>
                  <w:r w:rsidRPr="00FD38D4">
                    <w:rPr>
                      <w:rFonts w:cs="Arial"/>
                    </w:rPr>
                    <w:t>Our vision for our children is that they;</w:t>
                  </w:r>
                </w:p>
                <w:p w:rsidR="00432E82" w:rsidRPr="00FD38D4" w:rsidRDefault="00432E82" w:rsidP="00432E82">
                  <w:pPr>
                    <w:pStyle w:val="ListParagraph"/>
                    <w:numPr>
                      <w:ilvl w:val="0"/>
                      <w:numId w:val="14"/>
                    </w:numPr>
                    <w:spacing w:after="0" w:line="240" w:lineRule="auto"/>
                    <w:ind w:left="340" w:right="340"/>
                    <w:jc w:val="both"/>
                    <w:rPr>
                      <w:rFonts w:ascii="Calibri" w:hAnsi="Calibri"/>
                    </w:rPr>
                  </w:pPr>
                  <w:r w:rsidRPr="00FD38D4">
                    <w:rPr>
                      <w:rFonts w:ascii="Calibri" w:hAnsi="Calibri"/>
                    </w:rPr>
                    <w:t>develop the skills for learning, life and work that they will need to thrive in the workplace;</w:t>
                  </w:r>
                </w:p>
                <w:p w:rsidR="00432E82" w:rsidRPr="00FD38D4" w:rsidRDefault="00432E82" w:rsidP="00432E82">
                  <w:pPr>
                    <w:pStyle w:val="ListParagraph"/>
                    <w:numPr>
                      <w:ilvl w:val="0"/>
                      <w:numId w:val="14"/>
                    </w:numPr>
                    <w:spacing w:after="0" w:line="240" w:lineRule="auto"/>
                    <w:ind w:left="340" w:right="340"/>
                    <w:jc w:val="both"/>
                    <w:rPr>
                      <w:rFonts w:ascii="Calibri" w:hAnsi="Calibri"/>
                    </w:rPr>
                  </w:pPr>
                  <w:r w:rsidRPr="00FD38D4">
                    <w:rPr>
                      <w:rFonts w:ascii="Calibri" w:hAnsi="Calibri"/>
                    </w:rPr>
                    <w:t>develop a strong connection to their environment and a determination to contribute to it;</w:t>
                  </w:r>
                </w:p>
                <w:p w:rsidR="00432E82" w:rsidRPr="00432E82" w:rsidRDefault="00432E82" w:rsidP="00432E82">
                  <w:pPr>
                    <w:pStyle w:val="ListParagraph"/>
                    <w:numPr>
                      <w:ilvl w:val="0"/>
                      <w:numId w:val="14"/>
                    </w:numPr>
                    <w:spacing w:after="0" w:line="240" w:lineRule="auto"/>
                    <w:ind w:left="340" w:right="340"/>
                    <w:jc w:val="both"/>
                    <w:rPr>
                      <w:rFonts w:ascii="Calibri" w:hAnsi="Calibri"/>
                    </w:rPr>
                  </w:pPr>
                  <w:r w:rsidRPr="00FD38D4">
                    <w:rPr>
                      <w:rFonts w:ascii="Calibri" w:hAnsi="Calibri"/>
                    </w:rPr>
                    <w:t>are empowered to make choices that enhance their health and wellbeing throughout their lives.</w:t>
                  </w:r>
                  <w:r w:rsidRPr="00FD38D4">
                    <w:rPr>
                      <w:noProof/>
                      <w:lang w:eastAsia="en-GB"/>
                    </w:rPr>
                    <w:t xml:space="preserve"> </w:t>
                  </w:r>
                </w:p>
                <w:p w:rsidR="00432E82" w:rsidRDefault="00432E82" w:rsidP="00432E82">
                  <w:pPr>
                    <w:pStyle w:val="ListParagraph"/>
                    <w:spacing w:after="0" w:line="240" w:lineRule="auto"/>
                    <w:ind w:left="0" w:right="340"/>
                    <w:jc w:val="both"/>
                    <w:rPr>
                      <w:rFonts w:ascii="Calibri" w:hAnsi="Calibri"/>
                    </w:rPr>
                  </w:pPr>
                </w:p>
                <w:p w:rsidR="00E27470" w:rsidRPr="00E27470" w:rsidRDefault="00E27470" w:rsidP="00E27470">
                  <w:pPr>
                    <w:ind w:right="340"/>
                  </w:pPr>
                  <w:r>
                    <w:t xml:space="preserve"> </w:t>
                  </w:r>
                  <w:r w:rsidR="00DB3584">
                    <w:t xml:space="preserve"> </w:t>
                  </w:r>
                  <w:r w:rsidRPr="00E27470">
                    <w:t>Our Values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7"/>
                  </w:tblGrid>
                  <w:tr w:rsidR="00E27470" w:rsidRPr="00FD38D4" w:rsidTr="000A2C5A">
                    <w:tc>
                      <w:tcPr>
                        <w:tcW w:w="15163" w:type="dxa"/>
                      </w:tcPr>
                      <w:p w:rsidR="00E27470" w:rsidRDefault="00E27470" w:rsidP="00E27470">
                        <w:pPr>
                          <w:ind w:right="340"/>
                        </w:pPr>
                        <w:r w:rsidRPr="00FD38D4">
                          <w:t xml:space="preserve">Our values underpin our relationships and make clear our expectations of how we live and work as a family. </w:t>
                        </w:r>
                      </w:p>
                      <w:p w:rsidR="00E27470" w:rsidRPr="00FD38D4" w:rsidRDefault="00E27470" w:rsidP="00E27470">
                        <w:pPr>
                          <w:ind w:right="340"/>
                        </w:pPr>
                        <w:r w:rsidRPr="00FD38D4">
                          <w:t>Our children understand that these Gospel Values are our foundation.</w:t>
                        </w:r>
                      </w:p>
                    </w:tc>
                  </w:tr>
                </w:tbl>
                <w:p w:rsidR="00E27470" w:rsidRDefault="00E27470" w:rsidP="00432E82">
                  <w:pPr>
                    <w:pStyle w:val="ListParagraph"/>
                    <w:spacing w:after="0" w:line="240" w:lineRule="auto"/>
                    <w:ind w:left="0" w:right="340"/>
                    <w:jc w:val="both"/>
                    <w:rPr>
                      <w:rFonts w:ascii="Calibri" w:hAnsi="Calibri"/>
                    </w:rPr>
                  </w:pPr>
                </w:p>
              </w:tc>
              <w:tc>
                <w:tcPr>
                  <w:tcW w:w="3226" w:type="dxa"/>
                </w:tcPr>
                <w:p w:rsidR="00432E82" w:rsidRDefault="00432E82" w:rsidP="00432E82">
                  <w:pPr>
                    <w:pStyle w:val="ListParagraph"/>
                    <w:spacing w:after="0" w:line="240" w:lineRule="auto"/>
                    <w:ind w:left="0" w:right="340"/>
                    <w:jc w:val="both"/>
                    <w:rPr>
                      <w:rFonts w:ascii="Calibri" w:hAnsi="Calibri"/>
                    </w:rPr>
                  </w:pPr>
                  <w:r>
                    <w:rPr>
                      <w:rFonts w:ascii="Calibri" w:hAnsi="Calibri"/>
                      <w:noProof/>
                      <w:lang w:eastAsia="en-GB"/>
                    </w:rPr>
                    <w:drawing>
                      <wp:inline distT="0" distB="0" distL="0" distR="0" wp14:anchorId="2D1C4FDF">
                        <wp:extent cx="2127423" cy="190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164" cy="1916409"/>
                                </a:xfrm>
                                <a:prstGeom prst="rect">
                                  <a:avLst/>
                                </a:prstGeom>
                                <a:noFill/>
                              </pic:spPr>
                            </pic:pic>
                          </a:graphicData>
                        </a:graphic>
                      </wp:inline>
                    </w:drawing>
                  </w:r>
                </w:p>
              </w:tc>
            </w:tr>
          </w:tbl>
          <w:p w:rsidR="002B2116" w:rsidRDefault="004D713C" w:rsidP="00E27470">
            <w:pPr>
              <w:ind w:left="340" w:right="340"/>
            </w:pPr>
            <w:r>
              <w:t xml:space="preserve">  </w:t>
            </w:r>
          </w:p>
        </w:tc>
      </w:tr>
    </w:tbl>
    <w:p w:rsidR="002B2116" w:rsidRDefault="002B2116">
      <w:pPr>
        <w:spacing w:after="0"/>
        <w:ind w:left="-567" w:right="15970"/>
      </w:pPr>
    </w:p>
    <w:p w:rsidR="00E27470" w:rsidRDefault="00E27470">
      <w:pPr>
        <w:spacing w:after="0"/>
        <w:ind w:left="-567" w:right="15970"/>
      </w:pPr>
    </w:p>
    <w:p w:rsidR="0030740C" w:rsidRDefault="0030740C">
      <w:pPr>
        <w:spacing w:after="0"/>
        <w:ind w:left="-567" w:right="15970"/>
      </w:pPr>
    </w:p>
    <w:p w:rsidR="00E27470" w:rsidRDefault="00E27470">
      <w:pPr>
        <w:spacing w:after="0"/>
        <w:ind w:left="-567" w:right="15970"/>
      </w:pPr>
    </w:p>
    <w:p w:rsidR="00E27470" w:rsidRDefault="00E27470">
      <w:pPr>
        <w:spacing w:after="0"/>
        <w:ind w:left="-567" w:right="15970"/>
      </w:pPr>
    </w:p>
    <w:tbl>
      <w:tblPr>
        <w:tblStyle w:val="TableGrid"/>
        <w:tblW w:w="15559" w:type="dxa"/>
        <w:tblInd w:w="-115" w:type="dxa"/>
        <w:tblCellMar>
          <w:top w:w="58" w:type="dxa"/>
          <w:left w:w="115" w:type="dxa"/>
          <w:right w:w="115" w:type="dxa"/>
        </w:tblCellMar>
        <w:tblLook w:val="04A0" w:firstRow="1" w:lastRow="0" w:firstColumn="1" w:lastColumn="0" w:noHBand="0" w:noVBand="1"/>
      </w:tblPr>
      <w:tblGrid>
        <w:gridCol w:w="15559"/>
      </w:tblGrid>
      <w:tr w:rsidR="002F1A26" w:rsidTr="00D97C3B">
        <w:trPr>
          <w:trHeight w:val="279"/>
        </w:trPr>
        <w:tc>
          <w:tcPr>
            <w:tcW w:w="15559" w:type="dxa"/>
            <w:tcBorders>
              <w:top w:val="double" w:sz="4" w:space="0" w:color="000000"/>
              <w:left w:val="single" w:sz="4" w:space="0" w:color="000000"/>
              <w:bottom w:val="single" w:sz="4" w:space="0" w:color="000000"/>
              <w:right w:val="single" w:sz="4" w:space="0" w:color="000000"/>
            </w:tcBorders>
            <w:shd w:val="clear" w:color="auto" w:fill="FFE1E1"/>
          </w:tcPr>
          <w:p w:rsidR="002F1A26" w:rsidRPr="002F1A26" w:rsidRDefault="002F1A26">
            <w:pPr>
              <w:rPr>
                <w:sz w:val="24"/>
              </w:rPr>
            </w:pPr>
            <w:r>
              <w:rPr>
                <w:b/>
                <w:sz w:val="28"/>
              </w:rPr>
              <w:lastRenderedPageBreak/>
              <w:t>Section B2 – Performance Information</w:t>
            </w:r>
          </w:p>
        </w:tc>
      </w:tr>
      <w:tr w:rsidR="002B2116">
        <w:trPr>
          <w:trHeight w:val="3414"/>
        </w:trPr>
        <w:tc>
          <w:tcPr>
            <w:tcW w:w="15559" w:type="dxa"/>
            <w:tcBorders>
              <w:top w:val="double" w:sz="4" w:space="0" w:color="000000"/>
              <w:left w:val="single" w:sz="4" w:space="0" w:color="000000"/>
              <w:bottom w:val="single" w:sz="4" w:space="0" w:color="000000"/>
              <w:right w:val="single" w:sz="4" w:space="0" w:color="000000"/>
            </w:tcBorders>
          </w:tcPr>
          <w:p w:rsidR="005A5E97" w:rsidRDefault="005A5E97" w:rsidP="005A5E97">
            <w:pPr>
              <w:rPr>
                <w:sz w:val="24"/>
              </w:rPr>
            </w:pPr>
            <w:r w:rsidRPr="005A5E97">
              <w:rPr>
                <w:sz w:val="24"/>
              </w:rPr>
              <w:t xml:space="preserve">Measuring Performance is challenging because we did not carry out our usual data gathering exercises as we would have done if there had been no lockdown. </w:t>
            </w:r>
          </w:p>
          <w:p w:rsidR="005A5E97" w:rsidRDefault="005A5E97" w:rsidP="005A5E97">
            <w:pPr>
              <w:rPr>
                <w:sz w:val="24"/>
              </w:rPr>
            </w:pPr>
          </w:p>
          <w:p w:rsidR="005A5E97" w:rsidRDefault="005A5E97" w:rsidP="005A5E97">
            <w:pPr>
              <w:rPr>
                <w:sz w:val="24"/>
              </w:rPr>
            </w:pPr>
            <w:r w:rsidRPr="003B28C4">
              <w:rPr>
                <w:sz w:val="24"/>
                <w:highlight w:val="yellow"/>
              </w:rPr>
              <w:t xml:space="preserve">In terms of attainment, we have no definitive figures for </w:t>
            </w:r>
            <w:r w:rsidR="00E27470" w:rsidRPr="003B28C4">
              <w:rPr>
                <w:sz w:val="24"/>
                <w:highlight w:val="yellow"/>
              </w:rPr>
              <w:t>the</w:t>
            </w:r>
            <w:r w:rsidRPr="003B28C4">
              <w:rPr>
                <w:sz w:val="24"/>
                <w:highlight w:val="yellow"/>
              </w:rPr>
              <w:t xml:space="preserve"> attainment of the school. </w:t>
            </w:r>
            <w:r w:rsidR="0039218A" w:rsidRPr="003B28C4">
              <w:rPr>
                <w:sz w:val="24"/>
                <w:highlight w:val="yellow"/>
              </w:rPr>
              <w:t xml:space="preserve">On the basis of ongoing assessment and the results of the Scottish National Standardised Assessments, we had forecast </w:t>
            </w:r>
            <w:r w:rsidR="00D63CB7" w:rsidRPr="003B28C4">
              <w:rPr>
                <w:sz w:val="24"/>
                <w:highlight w:val="yellow"/>
              </w:rPr>
              <w:t xml:space="preserve">that attainment had risen </w:t>
            </w:r>
            <w:r w:rsidR="009C49BC" w:rsidRPr="003B28C4">
              <w:rPr>
                <w:sz w:val="24"/>
                <w:highlight w:val="yellow"/>
              </w:rPr>
              <w:t xml:space="preserve">since June 2019 </w:t>
            </w:r>
            <w:r w:rsidR="00D63CB7" w:rsidRPr="003B28C4">
              <w:rPr>
                <w:sz w:val="24"/>
                <w:highlight w:val="yellow"/>
              </w:rPr>
              <w:t>or been maintained in most categories. Where there had been a dip in</w:t>
            </w:r>
            <w:r w:rsidR="00432E82" w:rsidRPr="003B28C4">
              <w:rPr>
                <w:sz w:val="24"/>
                <w:highlight w:val="yellow"/>
              </w:rPr>
              <w:t xml:space="preserve"> the general</w:t>
            </w:r>
            <w:r w:rsidR="00D63CB7" w:rsidRPr="003B28C4">
              <w:rPr>
                <w:sz w:val="24"/>
                <w:highlight w:val="yellow"/>
              </w:rPr>
              <w:t xml:space="preserve"> attainment levels, we had planned support for t</w:t>
            </w:r>
            <w:r w:rsidR="00E27470" w:rsidRPr="003B28C4">
              <w:rPr>
                <w:sz w:val="24"/>
                <w:highlight w:val="yellow"/>
              </w:rPr>
              <w:t>he individual children identifi</w:t>
            </w:r>
            <w:r w:rsidR="00D63CB7" w:rsidRPr="003B28C4">
              <w:rPr>
                <w:sz w:val="24"/>
                <w:highlight w:val="yellow"/>
              </w:rPr>
              <w:t xml:space="preserve">ed </w:t>
            </w:r>
            <w:r w:rsidR="00E27470" w:rsidRPr="003B28C4">
              <w:rPr>
                <w:sz w:val="24"/>
                <w:highlight w:val="yellow"/>
              </w:rPr>
              <w:t xml:space="preserve">and </w:t>
            </w:r>
            <w:r w:rsidR="00D63CB7" w:rsidRPr="003B28C4">
              <w:rPr>
                <w:sz w:val="24"/>
                <w:highlight w:val="yellow"/>
              </w:rPr>
              <w:t xml:space="preserve">that was intended to boost their attainment and therefore </w:t>
            </w:r>
            <w:r w:rsidR="00432E82" w:rsidRPr="003B28C4">
              <w:rPr>
                <w:sz w:val="24"/>
                <w:highlight w:val="yellow"/>
              </w:rPr>
              <w:t>the general levels.</w:t>
            </w:r>
            <w:r w:rsidR="00432E82">
              <w:rPr>
                <w:sz w:val="24"/>
              </w:rPr>
              <w:t xml:space="preserve"> </w:t>
            </w:r>
          </w:p>
          <w:p w:rsidR="005A5E97" w:rsidRDefault="005A5E97" w:rsidP="005A5E97">
            <w:pPr>
              <w:rPr>
                <w:sz w:val="24"/>
              </w:rPr>
            </w:pPr>
          </w:p>
          <w:p w:rsidR="002B2116" w:rsidRPr="005A5E97" w:rsidRDefault="005A5E97" w:rsidP="005A5E97">
            <w:r>
              <w:rPr>
                <w:sz w:val="24"/>
              </w:rPr>
              <w:t xml:space="preserve">We do have an accurate figure for attendance up until the </w:t>
            </w:r>
            <w:r w:rsidRPr="005A5E97">
              <w:rPr>
                <w:sz w:val="24"/>
              </w:rPr>
              <w:t>21st of March</w:t>
            </w:r>
            <w:r>
              <w:rPr>
                <w:sz w:val="24"/>
              </w:rPr>
              <w:t>, it</w:t>
            </w:r>
            <w:r w:rsidRPr="005A5E97">
              <w:rPr>
                <w:sz w:val="24"/>
              </w:rPr>
              <w:t xml:space="preserve"> was 94.2</w:t>
            </w:r>
            <w:r>
              <w:rPr>
                <w:sz w:val="24"/>
              </w:rPr>
              <w:t>% which is lower than our average of 95-96% but this figure reflects the time of year. At the end of cold and flu season, we expect the attendance figures to dip and then to rise as the better weather arrives and children feel better.</w:t>
            </w:r>
          </w:p>
        </w:tc>
      </w:tr>
    </w:tbl>
    <w:p w:rsidR="00432E82" w:rsidRDefault="00432E82"/>
    <w:tbl>
      <w:tblPr>
        <w:tblStyle w:val="TableGrid"/>
        <w:tblW w:w="15559" w:type="dxa"/>
        <w:tblInd w:w="-115" w:type="dxa"/>
        <w:tblCellMar>
          <w:top w:w="58" w:type="dxa"/>
          <w:left w:w="115" w:type="dxa"/>
          <w:right w:w="115" w:type="dxa"/>
        </w:tblCellMar>
        <w:tblLook w:val="04A0" w:firstRow="1" w:lastRow="0" w:firstColumn="1" w:lastColumn="0" w:noHBand="0" w:noVBand="1"/>
      </w:tblPr>
      <w:tblGrid>
        <w:gridCol w:w="7779"/>
        <w:gridCol w:w="7780"/>
      </w:tblGrid>
      <w:tr w:rsidR="002B2116">
        <w:trPr>
          <w:trHeight w:val="454"/>
        </w:trPr>
        <w:tc>
          <w:tcPr>
            <w:tcW w:w="15559" w:type="dxa"/>
            <w:gridSpan w:val="2"/>
            <w:tcBorders>
              <w:top w:val="single" w:sz="4" w:space="0" w:color="000000"/>
              <w:left w:val="single" w:sz="4" w:space="0" w:color="000000"/>
              <w:bottom w:val="single" w:sz="4" w:space="0" w:color="000000"/>
              <w:right w:val="single" w:sz="4" w:space="0" w:color="000000"/>
            </w:tcBorders>
            <w:shd w:val="clear" w:color="auto" w:fill="F2DBDB"/>
          </w:tcPr>
          <w:p w:rsidR="002B2116" w:rsidRDefault="00A23B39">
            <w:r>
              <w:rPr>
                <w:b/>
                <w:sz w:val="28"/>
              </w:rPr>
              <w:t>Section B2 - Review of Progress to March 2020</w:t>
            </w:r>
          </w:p>
        </w:tc>
      </w:tr>
      <w:tr w:rsidR="002B2116">
        <w:trPr>
          <w:trHeight w:val="596"/>
        </w:trPr>
        <w:tc>
          <w:tcPr>
            <w:tcW w:w="7779"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NIF Priority 1:</w:t>
            </w:r>
          </w:p>
          <w:p w:rsidR="002B2116" w:rsidRDefault="00210CA2">
            <w:r w:rsidRPr="00210CA2">
              <w:rPr>
                <w:sz w:val="24"/>
              </w:rPr>
              <w:t>Closing the</w:t>
            </w:r>
            <w:r w:rsidR="002F730B">
              <w:rPr>
                <w:sz w:val="24"/>
              </w:rPr>
              <w:t xml:space="preserve"> attainment</w:t>
            </w:r>
            <w:r w:rsidRPr="00210CA2">
              <w:rPr>
                <w:sz w:val="24"/>
              </w:rPr>
              <w:t xml:space="preserve"> gap between the most and least disadvantaged</w:t>
            </w:r>
          </w:p>
        </w:tc>
        <w:tc>
          <w:tcPr>
            <w:tcW w:w="7780" w:type="dxa"/>
            <w:tcBorders>
              <w:top w:val="single" w:sz="4" w:space="0" w:color="000000"/>
              <w:left w:val="single" w:sz="4" w:space="0" w:color="000000"/>
              <w:bottom w:val="single" w:sz="4" w:space="0" w:color="000000"/>
              <w:right w:val="single" w:sz="4" w:space="0" w:color="000000"/>
            </w:tcBorders>
          </w:tcPr>
          <w:p w:rsidR="002B2116" w:rsidRDefault="00A23B39">
            <w:pPr>
              <w:rPr>
                <w:b/>
                <w:sz w:val="24"/>
              </w:rPr>
            </w:pPr>
            <w:r>
              <w:rPr>
                <w:b/>
                <w:sz w:val="24"/>
              </w:rPr>
              <w:t>School Improvement Priority/Priorities:</w:t>
            </w:r>
          </w:p>
          <w:p w:rsidR="002F1A26" w:rsidRPr="002F1A26" w:rsidRDefault="002F1A26">
            <w:r>
              <w:rPr>
                <w:sz w:val="24"/>
              </w:rPr>
              <w:t>Raising attainment and narrowing the poverty-related attainment gap</w:t>
            </w:r>
          </w:p>
        </w:tc>
      </w:tr>
      <w:tr w:rsidR="002B2116">
        <w:trPr>
          <w:trHeight w:val="1475"/>
        </w:trPr>
        <w:tc>
          <w:tcPr>
            <w:tcW w:w="7779" w:type="dxa"/>
            <w:tcBorders>
              <w:top w:val="single" w:sz="4" w:space="0" w:color="000000"/>
              <w:left w:val="single" w:sz="4" w:space="0" w:color="000000"/>
              <w:bottom w:val="single" w:sz="4" w:space="0" w:color="000000"/>
              <w:right w:val="single" w:sz="4" w:space="0" w:color="000000"/>
            </w:tcBorders>
          </w:tcPr>
          <w:p w:rsidR="002B2116" w:rsidRDefault="00A23B39">
            <w:pPr>
              <w:rPr>
                <w:b/>
                <w:sz w:val="24"/>
              </w:rPr>
            </w:pPr>
            <w:r>
              <w:rPr>
                <w:b/>
                <w:sz w:val="24"/>
              </w:rPr>
              <w:t>NIF Driver:</w:t>
            </w:r>
          </w:p>
          <w:p w:rsidR="00210CA2" w:rsidRDefault="00210CA2">
            <w:r>
              <w:t>Teacher professionalism</w:t>
            </w:r>
          </w:p>
          <w:p w:rsidR="00210CA2" w:rsidRPr="00210CA2" w:rsidRDefault="00210CA2">
            <w:r>
              <w:t>Assessment of children’s progress</w:t>
            </w:r>
          </w:p>
        </w:tc>
        <w:tc>
          <w:tcPr>
            <w:tcW w:w="7780"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HGIOS4 QIs:</w:t>
            </w:r>
          </w:p>
          <w:p w:rsidR="002B2116" w:rsidRDefault="00A23B39">
            <w:r>
              <w:rPr>
                <w:sz w:val="24"/>
              </w:rPr>
              <w:t>1.3 Leadership of change</w:t>
            </w:r>
          </w:p>
          <w:p w:rsidR="002B2116" w:rsidRDefault="00A23B39">
            <w:r>
              <w:rPr>
                <w:sz w:val="24"/>
              </w:rPr>
              <w:t>2.3 Learning, teaching and assessment</w:t>
            </w:r>
          </w:p>
          <w:p w:rsidR="002B2116" w:rsidRDefault="00A23B39">
            <w:r>
              <w:rPr>
                <w:sz w:val="24"/>
              </w:rPr>
              <w:t>3.2 Raising attainment and achievement</w:t>
            </w:r>
          </w:p>
        </w:tc>
      </w:tr>
      <w:tr w:rsidR="002B2116" w:rsidTr="00D97C3B">
        <w:trPr>
          <w:trHeight w:val="3559"/>
        </w:trPr>
        <w:tc>
          <w:tcPr>
            <w:tcW w:w="15559" w:type="dxa"/>
            <w:gridSpan w:val="2"/>
            <w:tcBorders>
              <w:top w:val="single" w:sz="4" w:space="0" w:color="000000"/>
              <w:left w:val="single" w:sz="4" w:space="0" w:color="000000"/>
              <w:bottom w:val="single" w:sz="4" w:space="0" w:color="000000"/>
              <w:right w:val="single" w:sz="4" w:space="0" w:color="000000"/>
            </w:tcBorders>
          </w:tcPr>
          <w:p w:rsidR="00210CA2" w:rsidRDefault="00A23B39" w:rsidP="000473AB">
            <w:pPr>
              <w:ind w:right="-170"/>
              <w:rPr>
                <w:b/>
                <w:sz w:val="24"/>
              </w:rPr>
            </w:pPr>
            <w:r>
              <w:rPr>
                <w:b/>
                <w:sz w:val="24"/>
              </w:rPr>
              <w:lastRenderedPageBreak/>
              <w:t>Progress and Impact until 20</w:t>
            </w:r>
            <w:r>
              <w:rPr>
                <w:b/>
                <w:sz w:val="18"/>
                <w:vertAlign w:val="superscript"/>
              </w:rPr>
              <w:t>th</w:t>
            </w:r>
            <w:r>
              <w:rPr>
                <w:b/>
                <w:sz w:val="24"/>
              </w:rPr>
              <w:t xml:space="preserve"> March 2020 </w:t>
            </w:r>
          </w:p>
          <w:p w:rsidR="00CC0775" w:rsidRPr="003B28C4" w:rsidRDefault="00CC0775" w:rsidP="004D713C">
            <w:pPr>
              <w:pStyle w:val="ListParagraph"/>
              <w:numPr>
                <w:ilvl w:val="0"/>
                <w:numId w:val="15"/>
              </w:numPr>
              <w:spacing w:after="0" w:line="240" w:lineRule="auto"/>
              <w:ind w:left="340" w:right="340"/>
              <w:jc w:val="both"/>
              <w:rPr>
                <w:sz w:val="24"/>
                <w:highlight w:val="yellow"/>
              </w:rPr>
            </w:pPr>
            <w:r>
              <w:rPr>
                <w:sz w:val="24"/>
              </w:rPr>
              <w:t>Our PEF money was largely spent on employing a part-time Support for Learning Assistant and contributing to the cost of our Principal Teacher</w:t>
            </w:r>
            <w:r w:rsidR="002F1A26">
              <w:rPr>
                <w:sz w:val="24"/>
              </w:rPr>
              <w:t xml:space="preserve">. They worked to support the economically children living in SIMD 1-3 who had gaps in their Literacy and Numeracy learning. </w:t>
            </w:r>
            <w:r w:rsidR="002F1A26" w:rsidRPr="003B28C4">
              <w:rPr>
                <w:sz w:val="24"/>
                <w:highlight w:val="yellow"/>
              </w:rPr>
              <w:t>Children were making good progress as evidenced in their learning before Lockdown.</w:t>
            </w:r>
          </w:p>
          <w:p w:rsidR="000473AB" w:rsidRDefault="000473AB" w:rsidP="004D713C">
            <w:pPr>
              <w:pStyle w:val="ListParagraph"/>
              <w:numPr>
                <w:ilvl w:val="0"/>
                <w:numId w:val="15"/>
              </w:numPr>
              <w:spacing w:after="0" w:line="240" w:lineRule="auto"/>
              <w:ind w:left="340" w:right="340"/>
              <w:jc w:val="both"/>
              <w:rPr>
                <w:sz w:val="24"/>
              </w:rPr>
            </w:pPr>
            <w:r>
              <w:rPr>
                <w:sz w:val="24"/>
              </w:rPr>
              <w:t xml:space="preserve">As there had been changes of staff over the course of the Formative Assessment Teacher Learning Community sessions, the staff decided to go through the whole course in a year – this was new to some staff and a refresher for others. The impact was that staff were more consistent and confident in their use of assessment. In turn, they were better able to </w:t>
            </w:r>
            <w:r w:rsidR="00CC0775">
              <w:rPr>
                <w:sz w:val="24"/>
              </w:rPr>
              <w:t>identify and support the children who were struggling with particular concepts or activities.</w:t>
            </w:r>
          </w:p>
          <w:p w:rsidR="00210CA2" w:rsidRDefault="00210CA2" w:rsidP="004D713C">
            <w:pPr>
              <w:pStyle w:val="ListParagraph"/>
              <w:numPr>
                <w:ilvl w:val="0"/>
                <w:numId w:val="15"/>
              </w:numPr>
              <w:spacing w:after="0" w:line="240" w:lineRule="auto"/>
              <w:ind w:left="340" w:right="340"/>
              <w:jc w:val="both"/>
              <w:rPr>
                <w:sz w:val="24"/>
              </w:rPr>
            </w:pPr>
            <w:r w:rsidRPr="000473AB">
              <w:rPr>
                <w:sz w:val="24"/>
              </w:rPr>
              <w:t>Staff undertook training in Clicke</w:t>
            </w:r>
            <w:r w:rsidR="000473AB" w:rsidRPr="000473AB">
              <w:rPr>
                <w:sz w:val="24"/>
              </w:rPr>
              <w:t>r7 and the IDL online resources in order to be better able to support learners through the use of technology</w:t>
            </w:r>
            <w:r w:rsidR="000473AB">
              <w:rPr>
                <w:sz w:val="24"/>
              </w:rPr>
              <w:t xml:space="preserve"> IDL. Pupils were then able to use IDL as a learning tool at home during Lockdown.</w:t>
            </w:r>
          </w:p>
          <w:p w:rsidR="00D97C3B" w:rsidRDefault="00D97C3B" w:rsidP="004D713C">
            <w:pPr>
              <w:pStyle w:val="ListParagraph"/>
              <w:numPr>
                <w:ilvl w:val="0"/>
                <w:numId w:val="15"/>
              </w:numPr>
              <w:spacing w:after="0" w:line="240" w:lineRule="auto"/>
              <w:ind w:left="340" w:right="340"/>
              <w:jc w:val="both"/>
              <w:rPr>
                <w:sz w:val="24"/>
              </w:rPr>
            </w:pPr>
            <w:r>
              <w:rPr>
                <w:sz w:val="24"/>
              </w:rPr>
              <w:t>Staff undertook training in Science and Technology</w:t>
            </w:r>
            <w:r w:rsidR="001349F8">
              <w:rPr>
                <w:sz w:val="24"/>
              </w:rPr>
              <w:t>, we also purchased</w:t>
            </w:r>
            <w:r>
              <w:rPr>
                <w:sz w:val="24"/>
              </w:rPr>
              <w:t xml:space="preserve"> and reorganised resources to plan for a whole school S</w:t>
            </w:r>
            <w:r w:rsidR="001349F8">
              <w:rPr>
                <w:sz w:val="24"/>
              </w:rPr>
              <w:t>TEM</w:t>
            </w:r>
            <w:r>
              <w:rPr>
                <w:sz w:val="24"/>
              </w:rPr>
              <w:t xml:space="preserve"> Term during April – June. Although we were not able to put our plans in place, we </w:t>
            </w:r>
            <w:r w:rsidR="001349F8">
              <w:rPr>
                <w:sz w:val="24"/>
              </w:rPr>
              <w:t>learned a lot during the process and will be better placed to give our children exciting learning opportunities in Science and Technology.</w:t>
            </w:r>
          </w:p>
          <w:p w:rsidR="001349F8" w:rsidRDefault="001349F8" w:rsidP="004D713C">
            <w:pPr>
              <w:pStyle w:val="ListParagraph"/>
              <w:numPr>
                <w:ilvl w:val="0"/>
                <w:numId w:val="15"/>
              </w:numPr>
              <w:spacing w:after="0" w:line="240" w:lineRule="auto"/>
              <w:ind w:left="340" w:right="340"/>
              <w:jc w:val="both"/>
              <w:rPr>
                <w:sz w:val="24"/>
              </w:rPr>
            </w:pPr>
            <w:r>
              <w:rPr>
                <w:sz w:val="24"/>
              </w:rPr>
              <w:t>We purchased new resources in Literacy and worked together to develop new approaches to writing. Our children responded enthusiastically and were writing at greater length and in a more structured way.</w:t>
            </w:r>
          </w:p>
          <w:p w:rsidR="00765FBC" w:rsidRPr="000473AB" w:rsidRDefault="00765FBC" w:rsidP="004D713C">
            <w:pPr>
              <w:pStyle w:val="ListParagraph"/>
              <w:numPr>
                <w:ilvl w:val="0"/>
                <w:numId w:val="15"/>
              </w:numPr>
              <w:spacing w:after="0" w:line="240" w:lineRule="auto"/>
              <w:ind w:left="340" w:right="340"/>
              <w:jc w:val="both"/>
              <w:rPr>
                <w:sz w:val="24"/>
              </w:rPr>
            </w:pPr>
            <w:r>
              <w:rPr>
                <w:sz w:val="24"/>
              </w:rPr>
              <w:t>We undertook learning conversations to understand how our children experience their classrooms. Teachers were able to build on the positives and address the concerns that children had.</w:t>
            </w:r>
          </w:p>
          <w:p w:rsidR="00210CA2" w:rsidRDefault="00210CA2" w:rsidP="004D713C">
            <w:pPr>
              <w:ind w:left="340" w:right="340"/>
              <w:jc w:val="both"/>
              <w:rPr>
                <w:b/>
                <w:sz w:val="24"/>
              </w:rPr>
            </w:pPr>
          </w:p>
          <w:p w:rsidR="002F1A26" w:rsidRDefault="00A23B39" w:rsidP="004D713C">
            <w:pPr>
              <w:ind w:left="340" w:right="340"/>
              <w:jc w:val="both"/>
              <w:rPr>
                <w:b/>
                <w:sz w:val="24"/>
              </w:rPr>
            </w:pPr>
            <w:r>
              <w:rPr>
                <w:b/>
                <w:sz w:val="24"/>
              </w:rPr>
              <w:t>Next steps:</w:t>
            </w:r>
          </w:p>
          <w:p w:rsidR="00D97C3B" w:rsidRDefault="00AD5FD9" w:rsidP="004D713C">
            <w:pPr>
              <w:pStyle w:val="ListParagraph"/>
              <w:numPr>
                <w:ilvl w:val="0"/>
                <w:numId w:val="16"/>
              </w:numPr>
              <w:spacing w:after="0" w:line="240" w:lineRule="auto"/>
              <w:ind w:left="340" w:right="340"/>
              <w:jc w:val="both"/>
              <w:rPr>
                <w:sz w:val="24"/>
              </w:rPr>
            </w:pPr>
            <w:r w:rsidRPr="00AD5FD9">
              <w:rPr>
                <w:sz w:val="24"/>
              </w:rPr>
              <w:t>All teachers have a copy of ‘Teaching Walkthrus’ by Sherrington &amp; Caviglioli.</w:t>
            </w:r>
            <w:r>
              <w:rPr>
                <w:sz w:val="24"/>
              </w:rPr>
              <w:t xml:space="preserve"> They will be working collaboratively to use this resource to improve teaching and learning.</w:t>
            </w:r>
            <w:r w:rsidR="004D713C">
              <w:rPr>
                <w:sz w:val="24"/>
              </w:rPr>
              <w:t xml:space="preserve"> Children should experience more effective assessment and teaching.</w:t>
            </w:r>
          </w:p>
          <w:p w:rsidR="00AD5FD9" w:rsidRPr="00AD5FD9" w:rsidRDefault="00AD5FD9" w:rsidP="004D713C">
            <w:pPr>
              <w:pStyle w:val="ListParagraph"/>
              <w:numPr>
                <w:ilvl w:val="0"/>
                <w:numId w:val="16"/>
              </w:numPr>
              <w:spacing w:after="0" w:line="240" w:lineRule="auto"/>
              <w:ind w:left="340" w:right="340"/>
              <w:jc w:val="both"/>
              <w:rPr>
                <w:sz w:val="24"/>
              </w:rPr>
            </w:pPr>
            <w:r w:rsidRPr="00AD5FD9">
              <w:rPr>
                <w:sz w:val="24"/>
              </w:rPr>
              <w:t xml:space="preserve">All teachers have a copy of </w:t>
            </w:r>
            <w:r w:rsidR="004D713C">
              <w:rPr>
                <w:sz w:val="24"/>
              </w:rPr>
              <w:t>‘</w:t>
            </w:r>
            <w:r w:rsidRPr="00AD5FD9">
              <w:rPr>
                <w:sz w:val="24"/>
              </w:rPr>
              <w:t>Growth Mindset Lessons</w:t>
            </w:r>
            <w:r w:rsidR="004D713C">
              <w:rPr>
                <w:sz w:val="24"/>
              </w:rPr>
              <w:t>’</w:t>
            </w:r>
            <w:r w:rsidRPr="00AD5FD9">
              <w:rPr>
                <w:sz w:val="24"/>
              </w:rPr>
              <w:t xml:space="preserve"> by Muncaster and Clarke.</w:t>
            </w:r>
            <w:r>
              <w:rPr>
                <w:sz w:val="24"/>
              </w:rPr>
              <w:t xml:space="preserve"> </w:t>
            </w:r>
            <w:r w:rsidR="004D713C">
              <w:rPr>
                <w:sz w:val="24"/>
              </w:rPr>
              <w:t xml:space="preserve">They will be working collaboratively to use this resource to </w:t>
            </w:r>
            <w:r>
              <w:rPr>
                <w:sz w:val="24"/>
              </w:rPr>
              <w:t>refresh our work on Growth Mindsets.</w:t>
            </w:r>
            <w:r w:rsidR="004D713C">
              <w:rPr>
                <w:sz w:val="24"/>
              </w:rPr>
              <w:t xml:space="preserve"> Children should feel more confident and willing to try new learning.</w:t>
            </w:r>
          </w:p>
          <w:p w:rsidR="00AD5FD9" w:rsidRPr="00AD5FD9" w:rsidRDefault="00AD5FD9" w:rsidP="004D713C">
            <w:pPr>
              <w:pStyle w:val="ListParagraph"/>
              <w:spacing w:after="0" w:line="240" w:lineRule="auto"/>
              <w:ind w:left="340" w:right="340"/>
              <w:jc w:val="both"/>
              <w:rPr>
                <w:sz w:val="24"/>
              </w:rPr>
            </w:pPr>
          </w:p>
          <w:p w:rsidR="002F1A26" w:rsidRDefault="002F1A26" w:rsidP="000473AB">
            <w:pPr>
              <w:ind w:right="-170"/>
            </w:pPr>
          </w:p>
        </w:tc>
      </w:tr>
    </w:tbl>
    <w:p w:rsidR="00DB3584" w:rsidRDefault="00DB3584">
      <w:pPr>
        <w:spacing w:after="0"/>
        <w:ind w:left="-567" w:right="15970"/>
      </w:pPr>
    </w:p>
    <w:p w:rsidR="004D713C" w:rsidRDefault="004D713C">
      <w:pPr>
        <w:spacing w:after="0"/>
        <w:ind w:left="-567" w:right="15970"/>
      </w:pPr>
    </w:p>
    <w:tbl>
      <w:tblPr>
        <w:tblStyle w:val="TableGrid"/>
        <w:tblW w:w="15559" w:type="dxa"/>
        <w:tblInd w:w="-115" w:type="dxa"/>
        <w:tblCellMar>
          <w:top w:w="53" w:type="dxa"/>
          <w:left w:w="115" w:type="dxa"/>
          <w:right w:w="723" w:type="dxa"/>
        </w:tblCellMar>
        <w:tblLook w:val="04A0" w:firstRow="1" w:lastRow="0" w:firstColumn="1" w:lastColumn="0" w:noHBand="0" w:noVBand="1"/>
      </w:tblPr>
      <w:tblGrid>
        <w:gridCol w:w="7779"/>
        <w:gridCol w:w="7780"/>
      </w:tblGrid>
      <w:tr w:rsidR="002F1A26" w:rsidTr="00765FBC">
        <w:trPr>
          <w:trHeight w:val="383"/>
        </w:trPr>
        <w:tc>
          <w:tcPr>
            <w:tcW w:w="7779" w:type="dxa"/>
            <w:tcBorders>
              <w:top w:val="single" w:sz="4" w:space="0" w:color="000000"/>
              <w:left w:val="single" w:sz="4" w:space="0" w:color="000000"/>
              <w:bottom w:val="single" w:sz="4" w:space="0" w:color="000000"/>
              <w:right w:val="single" w:sz="4" w:space="0" w:color="000000"/>
            </w:tcBorders>
          </w:tcPr>
          <w:p w:rsidR="002F1A26" w:rsidRDefault="002F1A26" w:rsidP="002F1A26">
            <w:pPr>
              <w:rPr>
                <w:b/>
                <w:sz w:val="24"/>
              </w:rPr>
            </w:pPr>
            <w:r>
              <w:rPr>
                <w:b/>
                <w:sz w:val="24"/>
              </w:rPr>
              <w:t>NIF Priority 2:</w:t>
            </w:r>
          </w:p>
          <w:p w:rsidR="00D97C3B" w:rsidRDefault="00D97C3B" w:rsidP="002F1A26">
            <w:r>
              <w:rPr>
                <w:sz w:val="24"/>
              </w:rPr>
              <w:t>Closing the attainment gap between the most and least disadvantaged children</w:t>
            </w:r>
          </w:p>
        </w:tc>
        <w:tc>
          <w:tcPr>
            <w:tcW w:w="7780" w:type="dxa"/>
            <w:tcBorders>
              <w:top w:val="single" w:sz="4" w:space="0" w:color="000000"/>
              <w:left w:val="single" w:sz="4" w:space="0" w:color="000000"/>
              <w:bottom w:val="single" w:sz="4" w:space="0" w:color="000000"/>
              <w:right w:val="single" w:sz="4" w:space="0" w:color="000000"/>
            </w:tcBorders>
          </w:tcPr>
          <w:p w:rsidR="002F1A26" w:rsidRDefault="002F1A26" w:rsidP="002F1A26">
            <w:pPr>
              <w:rPr>
                <w:b/>
                <w:sz w:val="24"/>
              </w:rPr>
            </w:pPr>
            <w:r>
              <w:rPr>
                <w:b/>
                <w:sz w:val="24"/>
              </w:rPr>
              <w:t>School Improvement Priority/Priorities:</w:t>
            </w:r>
          </w:p>
          <w:p w:rsidR="00D97C3B" w:rsidRPr="00D97C3B" w:rsidRDefault="00D97C3B" w:rsidP="002F1A26">
            <w:r w:rsidRPr="00D97C3B">
              <w:rPr>
                <w:sz w:val="24"/>
              </w:rPr>
              <w:t>Raise attainment and wellbeing through involving families in targeted and universal wellbeing initiatives</w:t>
            </w:r>
          </w:p>
        </w:tc>
      </w:tr>
      <w:tr w:rsidR="002B2116" w:rsidTr="00765FBC">
        <w:trPr>
          <w:trHeight w:val="1296"/>
        </w:trPr>
        <w:tc>
          <w:tcPr>
            <w:tcW w:w="7779" w:type="dxa"/>
            <w:tcBorders>
              <w:top w:val="single" w:sz="4" w:space="0" w:color="000000"/>
              <w:left w:val="single" w:sz="4" w:space="0" w:color="000000"/>
              <w:bottom w:val="single" w:sz="4" w:space="0" w:color="000000"/>
              <w:right w:val="single" w:sz="4" w:space="0" w:color="000000"/>
            </w:tcBorders>
          </w:tcPr>
          <w:p w:rsidR="002B2116" w:rsidRDefault="00A23B39">
            <w:pPr>
              <w:rPr>
                <w:b/>
                <w:sz w:val="24"/>
              </w:rPr>
            </w:pPr>
            <w:r>
              <w:rPr>
                <w:b/>
                <w:sz w:val="24"/>
              </w:rPr>
              <w:lastRenderedPageBreak/>
              <w:t>NIF Driver:</w:t>
            </w:r>
          </w:p>
          <w:p w:rsidR="00D97C3B" w:rsidRPr="00D97C3B" w:rsidRDefault="00D97C3B">
            <w:pPr>
              <w:rPr>
                <w:sz w:val="24"/>
              </w:rPr>
            </w:pPr>
            <w:r w:rsidRPr="00D97C3B">
              <w:rPr>
                <w:sz w:val="24"/>
              </w:rPr>
              <w:t>School Leadership</w:t>
            </w:r>
          </w:p>
          <w:p w:rsidR="00D97C3B" w:rsidRDefault="00D97C3B">
            <w:r w:rsidRPr="00D97C3B">
              <w:rPr>
                <w:sz w:val="24"/>
              </w:rPr>
              <w:t>Parental Engagement</w:t>
            </w:r>
          </w:p>
        </w:tc>
        <w:tc>
          <w:tcPr>
            <w:tcW w:w="7780"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HGIOS4 QIs:</w:t>
            </w:r>
          </w:p>
          <w:p w:rsidR="002B2116" w:rsidRDefault="00D97C3B">
            <w:pPr>
              <w:rPr>
                <w:sz w:val="24"/>
              </w:rPr>
            </w:pPr>
            <w:r>
              <w:rPr>
                <w:sz w:val="24"/>
              </w:rPr>
              <w:t>2.6 Transitions</w:t>
            </w:r>
          </w:p>
          <w:p w:rsidR="00D97C3B" w:rsidRDefault="00D97C3B">
            <w:r>
              <w:rPr>
                <w:sz w:val="24"/>
              </w:rPr>
              <w:t>2.7 Partnerships</w:t>
            </w:r>
          </w:p>
          <w:p w:rsidR="002B2116" w:rsidRDefault="00A23B39">
            <w:r>
              <w:rPr>
                <w:sz w:val="24"/>
              </w:rPr>
              <w:t>3.1 Ensuring wellbeing, equity and inclusion</w:t>
            </w:r>
          </w:p>
        </w:tc>
      </w:tr>
      <w:tr w:rsidR="00765FBC" w:rsidTr="001B6375">
        <w:trPr>
          <w:trHeight w:val="3797"/>
        </w:trPr>
        <w:tc>
          <w:tcPr>
            <w:tcW w:w="15559" w:type="dxa"/>
            <w:gridSpan w:val="2"/>
            <w:tcBorders>
              <w:top w:val="single" w:sz="4" w:space="0" w:color="000000"/>
              <w:left w:val="single" w:sz="4" w:space="0" w:color="000000"/>
              <w:bottom w:val="single" w:sz="4" w:space="0" w:color="000000"/>
              <w:right w:val="single" w:sz="4" w:space="0" w:color="000000"/>
            </w:tcBorders>
          </w:tcPr>
          <w:p w:rsidR="00765FBC" w:rsidRDefault="00765FBC" w:rsidP="004D713C">
            <w:pPr>
              <w:ind w:left="340" w:right="340"/>
              <w:jc w:val="both"/>
              <w:rPr>
                <w:b/>
                <w:sz w:val="24"/>
              </w:rPr>
            </w:pPr>
            <w:r>
              <w:rPr>
                <w:b/>
                <w:sz w:val="24"/>
              </w:rPr>
              <w:t>Progress and Impact until 20</w:t>
            </w:r>
            <w:r>
              <w:rPr>
                <w:b/>
                <w:sz w:val="18"/>
                <w:vertAlign w:val="superscript"/>
              </w:rPr>
              <w:t>th</w:t>
            </w:r>
            <w:r>
              <w:rPr>
                <w:b/>
                <w:sz w:val="24"/>
              </w:rPr>
              <w:t xml:space="preserve"> March 2020 </w:t>
            </w:r>
          </w:p>
          <w:p w:rsidR="00765FBC" w:rsidRDefault="00765FBC" w:rsidP="00765FBC">
            <w:pPr>
              <w:pStyle w:val="ListParagraph"/>
              <w:numPr>
                <w:ilvl w:val="0"/>
                <w:numId w:val="17"/>
              </w:numPr>
              <w:spacing w:after="0" w:line="240" w:lineRule="auto"/>
              <w:ind w:left="700" w:right="-397"/>
              <w:jc w:val="both"/>
              <w:rPr>
                <w:sz w:val="24"/>
              </w:rPr>
            </w:pPr>
            <w:r>
              <w:rPr>
                <w:sz w:val="24"/>
              </w:rPr>
              <w:t>We surveyed our children and families as we moved into the new campus in order to identify and address the issues tha</w:t>
            </w:r>
            <w:r w:rsidR="003B0EC8">
              <w:rPr>
                <w:sz w:val="24"/>
              </w:rPr>
              <w:t xml:space="preserve">t were causing them anxieties. We addressed those issues and the </w:t>
            </w:r>
            <w:r>
              <w:rPr>
                <w:sz w:val="24"/>
              </w:rPr>
              <w:t xml:space="preserve">children </w:t>
            </w:r>
            <w:r w:rsidR="003B0EC8">
              <w:rPr>
                <w:sz w:val="24"/>
              </w:rPr>
              <w:t>quickly</w:t>
            </w:r>
            <w:r>
              <w:rPr>
                <w:sz w:val="24"/>
              </w:rPr>
              <w:t xml:space="preserve"> became more settled an</w:t>
            </w:r>
            <w:r w:rsidR="003B28C4">
              <w:rPr>
                <w:sz w:val="24"/>
              </w:rPr>
              <w:t>d confident in the large campus as evidenced in survey responses.</w:t>
            </w:r>
          </w:p>
          <w:p w:rsidR="00765FBC" w:rsidRDefault="00765FBC" w:rsidP="00765FBC">
            <w:pPr>
              <w:pStyle w:val="ListParagraph"/>
              <w:numPr>
                <w:ilvl w:val="0"/>
                <w:numId w:val="17"/>
              </w:numPr>
              <w:spacing w:after="0" w:line="240" w:lineRule="auto"/>
              <w:ind w:left="700" w:right="-397"/>
              <w:jc w:val="both"/>
              <w:rPr>
                <w:sz w:val="24"/>
              </w:rPr>
            </w:pPr>
            <w:r>
              <w:rPr>
                <w:sz w:val="24"/>
              </w:rPr>
              <w:t>We invited families in to an Open Afternoon touring the new campus and into Sharing our Learning sessions and workshop. The impact was that families were better able to understand how children learn and how they can support their learning.</w:t>
            </w:r>
            <w:r w:rsidR="003B0EC8">
              <w:rPr>
                <w:sz w:val="24"/>
              </w:rPr>
              <w:t xml:space="preserve"> </w:t>
            </w:r>
          </w:p>
          <w:p w:rsidR="00D82F6B" w:rsidRDefault="00D82F6B" w:rsidP="00765FBC">
            <w:pPr>
              <w:pStyle w:val="ListParagraph"/>
              <w:numPr>
                <w:ilvl w:val="0"/>
                <w:numId w:val="17"/>
              </w:numPr>
              <w:spacing w:after="0" w:line="240" w:lineRule="auto"/>
              <w:ind w:left="700" w:right="-397"/>
              <w:jc w:val="both"/>
              <w:rPr>
                <w:sz w:val="24"/>
              </w:rPr>
            </w:pPr>
            <w:r>
              <w:rPr>
                <w:sz w:val="24"/>
              </w:rPr>
              <w:t>Two members of staff undertook Circle Time training and passed on their learning to colleagues. The impact was that all classes began to experience regular Circle Time sessions where children were supported to share and discuss their feelings.</w:t>
            </w:r>
          </w:p>
          <w:p w:rsidR="001B6375" w:rsidRPr="004D713C" w:rsidRDefault="001B6375" w:rsidP="00765FBC">
            <w:pPr>
              <w:pStyle w:val="ListParagraph"/>
              <w:numPr>
                <w:ilvl w:val="0"/>
                <w:numId w:val="17"/>
              </w:numPr>
              <w:spacing w:after="0" w:line="240" w:lineRule="auto"/>
              <w:ind w:left="700" w:right="-397"/>
              <w:jc w:val="both"/>
              <w:rPr>
                <w:sz w:val="24"/>
              </w:rPr>
            </w:pPr>
            <w:r>
              <w:rPr>
                <w:sz w:val="24"/>
              </w:rPr>
              <w:t>All staff undertook Readiness for Learning training modules provided by the Educational Psychology team. This informed the teachers’ support of children with nurturing approaches.</w:t>
            </w:r>
          </w:p>
          <w:p w:rsidR="00765FBC" w:rsidRDefault="00765FBC" w:rsidP="00765FBC">
            <w:pPr>
              <w:ind w:left="340" w:right="340"/>
              <w:rPr>
                <w:b/>
                <w:sz w:val="24"/>
              </w:rPr>
            </w:pPr>
            <w:r w:rsidRPr="004D713C">
              <w:rPr>
                <w:b/>
                <w:sz w:val="24"/>
              </w:rPr>
              <w:t>Next steps:</w:t>
            </w:r>
          </w:p>
          <w:p w:rsidR="00D82F6B" w:rsidRDefault="00D82F6B" w:rsidP="00D82F6B">
            <w:pPr>
              <w:pStyle w:val="ListParagraph"/>
              <w:numPr>
                <w:ilvl w:val="0"/>
                <w:numId w:val="18"/>
              </w:numPr>
              <w:spacing w:after="0" w:line="240" w:lineRule="auto"/>
              <w:ind w:right="340"/>
            </w:pPr>
            <w:r>
              <w:t xml:space="preserve">We need to be creative in finding ways to communicate and work with families when they cannot be admitted to school and large gatherings are not allowed. </w:t>
            </w:r>
          </w:p>
          <w:p w:rsidR="001B6375" w:rsidRDefault="001B6375" w:rsidP="001B6375">
            <w:pPr>
              <w:pStyle w:val="ListParagraph"/>
              <w:spacing w:after="0" w:line="240" w:lineRule="auto"/>
              <w:ind w:left="700" w:right="340"/>
            </w:pPr>
          </w:p>
        </w:tc>
      </w:tr>
    </w:tbl>
    <w:p w:rsidR="002B2116" w:rsidRDefault="002B2116">
      <w:pPr>
        <w:spacing w:after="0"/>
        <w:ind w:left="-567" w:right="15970"/>
      </w:pPr>
    </w:p>
    <w:p w:rsidR="009C49BC" w:rsidRDefault="009C49BC">
      <w:pPr>
        <w:spacing w:after="0"/>
        <w:ind w:left="-567" w:right="15970"/>
      </w:pPr>
    </w:p>
    <w:tbl>
      <w:tblPr>
        <w:tblStyle w:val="TableGrid"/>
        <w:tblW w:w="15559" w:type="dxa"/>
        <w:tblInd w:w="-115" w:type="dxa"/>
        <w:tblCellMar>
          <w:top w:w="53" w:type="dxa"/>
          <w:left w:w="115" w:type="dxa"/>
          <w:right w:w="115" w:type="dxa"/>
        </w:tblCellMar>
        <w:tblLook w:val="04A0" w:firstRow="1" w:lastRow="0" w:firstColumn="1" w:lastColumn="0" w:noHBand="0" w:noVBand="1"/>
      </w:tblPr>
      <w:tblGrid>
        <w:gridCol w:w="7779"/>
        <w:gridCol w:w="7780"/>
      </w:tblGrid>
      <w:tr w:rsidR="00D97C3B" w:rsidTr="00D97C3B">
        <w:trPr>
          <w:trHeight w:val="475"/>
        </w:trPr>
        <w:tc>
          <w:tcPr>
            <w:tcW w:w="7779" w:type="dxa"/>
            <w:tcBorders>
              <w:top w:val="single" w:sz="4" w:space="0" w:color="000000"/>
              <w:left w:val="single" w:sz="4" w:space="0" w:color="000000"/>
              <w:bottom w:val="single" w:sz="4" w:space="0" w:color="000000"/>
              <w:right w:val="single" w:sz="4" w:space="0" w:color="000000"/>
            </w:tcBorders>
          </w:tcPr>
          <w:p w:rsidR="00D97C3B" w:rsidRDefault="00D97C3B" w:rsidP="00D97C3B">
            <w:r>
              <w:rPr>
                <w:b/>
                <w:sz w:val="24"/>
              </w:rPr>
              <w:t>NIF Priority 3:</w:t>
            </w:r>
          </w:p>
        </w:tc>
        <w:tc>
          <w:tcPr>
            <w:tcW w:w="7780" w:type="dxa"/>
            <w:tcBorders>
              <w:top w:val="single" w:sz="4" w:space="0" w:color="000000"/>
              <w:left w:val="single" w:sz="4" w:space="0" w:color="000000"/>
              <w:bottom w:val="single" w:sz="4" w:space="0" w:color="000000"/>
              <w:right w:val="single" w:sz="4" w:space="0" w:color="000000"/>
            </w:tcBorders>
          </w:tcPr>
          <w:p w:rsidR="00D97C3B" w:rsidRDefault="00D97C3B" w:rsidP="00D97C3B">
            <w:r>
              <w:rPr>
                <w:b/>
                <w:sz w:val="24"/>
              </w:rPr>
              <w:t>School Improvement Priority/Priorities:</w:t>
            </w:r>
          </w:p>
        </w:tc>
      </w:tr>
      <w:tr w:rsidR="002B2116" w:rsidTr="001B6375">
        <w:trPr>
          <w:trHeight w:val="377"/>
        </w:trPr>
        <w:tc>
          <w:tcPr>
            <w:tcW w:w="7779" w:type="dxa"/>
            <w:tcBorders>
              <w:top w:val="single" w:sz="4" w:space="0" w:color="000000"/>
              <w:left w:val="single" w:sz="4" w:space="0" w:color="000000"/>
              <w:bottom w:val="single" w:sz="4" w:space="0" w:color="000000"/>
              <w:right w:val="single" w:sz="4" w:space="0" w:color="000000"/>
            </w:tcBorders>
          </w:tcPr>
          <w:p w:rsidR="002B2116" w:rsidRDefault="00FE030F">
            <w:r>
              <w:rPr>
                <w:sz w:val="24"/>
              </w:rPr>
              <w:t>Closing the attainment gap between the most and least disadvantaged children</w:t>
            </w:r>
          </w:p>
        </w:tc>
        <w:tc>
          <w:tcPr>
            <w:tcW w:w="7780" w:type="dxa"/>
            <w:tcBorders>
              <w:top w:val="single" w:sz="4" w:space="0" w:color="000000"/>
              <w:left w:val="single" w:sz="4" w:space="0" w:color="000000"/>
              <w:bottom w:val="single" w:sz="4" w:space="0" w:color="000000"/>
              <w:right w:val="single" w:sz="4" w:space="0" w:color="000000"/>
            </w:tcBorders>
            <w:vAlign w:val="center"/>
          </w:tcPr>
          <w:p w:rsidR="002B2116" w:rsidRDefault="00752ECE">
            <w:r>
              <w:t>Raising attainment and developing creativity through the use of digital technology.</w:t>
            </w:r>
          </w:p>
        </w:tc>
      </w:tr>
      <w:tr w:rsidR="002B2116" w:rsidTr="0087088A">
        <w:trPr>
          <w:trHeight w:val="1077"/>
        </w:trPr>
        <w:tc>
          <w:tcPr>
            <w:tcW w:w="7779" w:type="dxa"/>
            <w:tcBorders>
              <w:top w:val="single" w:sz="4" w:space="0" w:color="000000"/>
              <w:left w:val="single" w:sz="4" w:space="0" w:color="000000"/>
              <w:bottom w:val="single" w:sz="4" w:space="0" w:color="000000"/>
              <w:right w:val="single" w:sz="4" w:space="0" w:color="000000"/>
            </w:tcBorders>
          </w:tcPr>
          <w:p w:rsidR="002B2116" w:rsidRDefault="00A23B39">
            <w:pPr>
              <w:rPr>
                <w:b/>
                <w:sz w:val="24"/>
              </w:rPr>
            </w:pPr>
            <w:r>
              <w:rPr>
                <w:b/>
                <w:sz w:val="24"/>
              </w:rPr>
              <w:t>NIF Driver:</w:t>
            </w:r>
          </w:p>
          <w:p w:rsidR="001B6375" w:rsidRPr="001B6375" w:rsidRDefault="001B6375">
            <w:r w:rsidRPr="001B6375">
              <w:rPr>
                <w:sz w:val="24"/>
              </w:rPr>
              <w:t>Teacher professionalism</w:t>
            </w:r>
          </w:p>
        </w:tc>
        <w:tc>
          <w:tcPr>
            <w:tcW w:w="7780"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HGIOS4 QIs:</w:t>
            </w:r>
          </w:p>
          <w:p w:rsidR="002B2116" w:rsidRDefault="00A23B39">
            <w:r>
              <w:rPr>
                <w:sz w:val="24"/>
              </w:rPr>
              <w:t>2.3 Learning, teaching and assessment</w:t>
            </w:r>
          </w:p>
          <w:p w:rsidR="002B2116" w:rsidRDefault="00A23B39" w:rsidP="0087088A">
            <w:r>
              <w:rPr>
                <w:sz w:val="24"/>
              </w:rPr>
              <w:t>3.</w:t>
            </w:r>
            <w:r w:rsidR="0087088A">
              <w:rPr>
                <w:sz w:val="24"/>
              </w:rPr>
              <w:t>3 Increasing creativity and employability</w:t>
            </w:r>
          </w:p>
        </w:tc>
      </w:tr>
      <w:tr w:rsidR="003B0EC8" w:rsidTr="000524C2">
        <w:trPr>
          <w:trHeight w:val="617"/>
        </w:trPr>
        <w:tc>
          <w:tcPr>
            <w:tcW w:w="15559" w:type="dxa"/>
            <w:gridSpan w:val="2"/>
            <w:tcBorders>
              <w:top w:val="single" w:sz="4" w:space="0" w:color="000000"/>
              <w:left w:val="single" w:sz="4" w:space="0" w:color="000000"/>
              <w:bottom w:val="single" w:sz="4" w:space="0" w:color="000000"/>
              <w:right w:val="single" w:sz="4" w:space="0" w:color="000000"/>
            </w:tcBorders>
          </w:tcPr>
          <w:p w:rsidR="003B0EC8" w:rsidRDefault="003B0EC8">
            <w:pPr>
              <w:ind w:right="2894"/>
              <w:rPr>
                <w:b/>
                <w:sz w:val="24"/>
              </w:rPr>
            </w:pPr>
            <w:r>
              <w:rPr>
                <w:b/>
                <w:sz w:val="24"/>
              </w:rPr>
              <w:t>Progress and Impact until 20</w:t>
            </w:r>
            <w:r>
              <w:rPr>
                <w:b/>
                <w:sz w:val="18"/>
                <w:vertAlign w:val="superscript"/>
              </w:rPr>
              <w:t>th</w:t>
            </w:r>
            <w:r>
              <w:rPr>
                <w:b/>
                <w:sz w:val="24"/>
              </w:rPr>
              <w:t xml:space="preserve"> March 2020 </w:t>
            </w:r>
          </w:p>
          <w:p w:rsidR="0062560A" w:rsidRDefault="003B0EC8" w:rsidP="0062560A">
            <w:pPr>
              <w:pStyle w:val="ListParagraph"/>
              <w:numPr>
                <w:ilvl w:val="0"/>
                <w:numId w:val="18"/>
              </w:numPr>
              <w:spacing w:after="0" w:line="240" w:lineRule="auto"/>
              <w:rPr>
                <w:sz w:val="24"/>
              </w:rPr>
            </w:pPr>
            <w:r w:rsidRPr="0062560A">
              <w:rPr>
                <w:sz w:val="24"/>
              </w:rPr>
              <w:t xml:space="preserve">The new campus offers many more opportunities to develop digital learning and we were able to offer the children much more exposure to </w:t>
            </w:r>
            <w:r w:rsidR="00354BC8">
              <w:rPr>
                <w:sz w:val="24"/>
              </w:rPr>
              <w:t>digital technology, going from 1-2 hours per week to approximately 4 hours per week.</w:t>
            </w:r>
            <w:bookmarkStart w:id="0" w:name="_GoBack"/>
            <w:bookmarkEnd w:id="0"/>
          </w:p>
          <w:p w:rsidR="00FE030F" w:rsidRDefault="00FE030F" w:rsidP="0062560A">
            <w:pPr>
              <w:pStyle w:val="ListParagraph"/>
              <w:numPr>
                <w:ilvl w:val="0"/>
                <w:numId w:val="18"/>
              </w:numPr>
              <w:spacing w:after="0" w:line="240" w:lineRule="auto"/>
              <w:rPr>
                <w:sz w:val="24"/>
              </w:rPr>
            </w:pPr>
            <w:r>
              <w:rPr>
                <w:sz w:val="24"/>
              </w:rPr>
              <w:lastRenderedPageBreak/>
              <w:t>Staff were trained in the use of the new interactive whiteboards and were able to engage children in their learning through the use of games that incorporated the touchscreen feature. The children and staff reported that the new screens were much easier to use that our previous boards and much more engaging.</w:t>
            </w:r>
          </w:p>
          <w:p w:rsidR="00FE030F" w:rsidRDefault="00FE030F" w:rsidP="0062560A">
            <w:pPr>
              <w:pStyle w:val="ListParagraph"/>
              <w:numPr>
                <w:ilvl w:val="0"/>
                <w:numId w:val="18"/>
              </w:numPr>
              <w:spacing w:after="0" w:line="240" w:lineRule="auto"/>
              <w:rPr>
                <w:sz w:val="24"/>
              </w:rPr>
            </w:pPr>
            <w:r>
              <w:rPr>
                <w:sz w:val="24"/>
              </w:rPr>
              <w:t xml:space="preserve">Staff received training in several pieces of software including Clicker and IDL – the teachers were then able to use these programmes to </w:t>
            </w:r>
            <w:r w:rsidR="00AF6BC0">
              <w:rPr>
                <w:sz w:val="24"/>
              </w:rPr>
              <w:t>support learners in Literacy and Numeracy.</w:t>
            </w:r>
          </w:p>
          <w:p w:rsidR="00BC4A2B" w:rsidRDefault="00BC4A2B" w:rsidP="0062560A">
            <w:pPr>
              <w:pStyle w:val="ListParagraph"/>
              <w:numPr>
                <w:ilvl w:val="0"/>
                <w:numId w:val="18"/>
              </w:numPr>
              <w:spacing w:after="0" w:line="240" w:lineRule="auto"/>
              <w:rPr>
                <w:sz w:val="24"/>
              </w:rPr>
            </w:pPr>
            <w:r>
              <w:rPr>
                <w:sz w:val="24"/>
              </w:rPr>
              <w:t xml:space="preserve">The improved internet access made using the laptops a much more pleasant experience and children, and teachers, </w:t>
            </w:r>
            <w:r w:rsidR="00354BC8">
              <w:rPr>
                <w:sz w:val="24"/>
              </w:rPr>
              <w:t>reported feeling</w:t>
            </w:r>
            <w:r>
              <w:rPr>
                <w:sz w:val="24"/>
              </w:rPr>
              <w:t xml:space="preserve"> less frustrated in IT lessons.</w:t>
            </w:r>
          </w:p>
          <w:p w:rsidR="00AF6BC0" w:rsidRDefault="00AE32FD" w:rsidP="0062560A">
            <w:pPr>
              <w:pStyle w:val="ListParagraph"/>
              <w:numPr>
                <w:ilvl w:val="0"/>
                <w:numId w:val="18"/>
              </w:numPr>
              <w:spacing w:after="0" w:line="240" w:lineRule="auto"/>
              <w:rPr>
                <w:sz w:val="24"/>
              </w:rPr>
            </w:pPr>
            <w:r w:rsidRPr="00BC4A2B">
              <w:rPr>
                <w:sz w:val="24"/>
              </w:rPr>
              <w:t xml:space="preserve">The </w:t>
            </w:r>
            <w:r w:rsidR="00BC4A2B" w:rsidRPr="00BC4A2B">
              <w:rPr>
                <w:sz w:val="24"/>
              </w:rPr>
              <w:t xml:space="preserve">increased number of laptops allowed </w:t>
            </w:r>
            <w:r w:rsidRPr="00BC4A2B">
              <w:rPr>
                <w:sz w:val="24"/>
              </w:rPr>
              <w:t xml:space="preserve">children </w:t>
            </w:r>
            <w:r w:rsidR="00BC4A2B" w:rsidRPr="00BC4A2B">
              <w:rPr>
                <w:sz w:val="24"/>
              </w:rPr>
              <w:t>practis</w:t>
            </w:r>
            <w:r w:rsidR="00FE030F" w:rsidRPr="00BC4A2B">
              <w:rPr>
                <w:sz w:val="24"/>
              </w:rPr>
              <w:t xml:space="preserve">e their </w:t>
            </w:r>
            <w:r w:rsidR="00BC4A2B" w:rsidRPr="00BC4A2B">
              <w:rPr>
                <w:sz w:val="24"/>
              </w:rPr>
              <w:t xml:space="preserve">digital </w:t>
            </w:r>
            <w:r w:rsidR="00FE030F" w:rsidRPr="00BC4A2B">
              <w:rPr>
                <w:sz w:val="24"/>
              </w:rPr>
              <w:t>skills more frequently.</w:t>
            </w:r>
            <w:r w:rsidR="006F3E3E" w:rsidRPr="00BC4A2B">
              <w:rPr>
                <w:sz w:val="24"/>
              </w:rPr>
              <w:t xml:space="preserve"> This stood the children in good stead when Lockdown was imposed – we had all the Google Classrooms set up by the first week of Lockdown and almost all children were able to access the site (younger children needed the help of their families). </w:t>
            </w:r>
          </w:p>
          <w:p w:rsidR="0062560A" w:rsidRPr="00BC4A2B" w:rsidRDefault="0062560A" w:rsidP="0062560A">
            <w:pPr>
              <w:pStyle w:val="ListParagraph"/>
              <w:numPr>
                <w:ilvl w:val="0"/>
                <w:numId w:val="18"/>
              </w:numPr>
              <w:spacing w:after="0" w:line="240" w:lineRule="auto"/>
              <w:rPr>
                <w:sz w:val="24"/>
              </w:rPr>
            </w:pPr>
            <w:r w:rsidRPr="00BC4A2B">
              <w:rPr>
                <w:sz w:val="24"/>
              </w:rPr>
              <w:t>We purchased Science resources and staff undertook Science training through SSERC. We planned that a great deal of the learning in the last term would be Science-based with links to Literacy, Numeracy and Technology but were unable to put this into practice due to the Lockdown.</w:t>
            </w:r>
          </w:p>
          <w:p w:rsidR="003B0EC8" w:rsidRDefault="003B0EC8">
            <w:pPr>
              <w:ind w:right="2894"/>
              <w:rPr>
                <w:b/>
                <w:sz w:val="24"/>
              </w:rPr>
            </w:pPr>
          </w:p>
          <w:p w:rsidR="0062560A" w:rsidRDefault="003B0EC8">
            <w:pPr>
              <w:rPr>
                <w:b/>
                <w:sz w:val="24"/>
              </w:rPr>
            </w:pPr>
            <w:r>
              <w:rPr>
                <w:b/>
                <w:sz w:val="24"/>
              </w:rPr>
              <w:t>Next steps:</w:t>
            </w:r>
          </w:p>
          <w:p w:rsidR="00BC4A2B" w:rsidRPr="0062560A" w:rsidRDefault="00FE030F" w:rsidP="00BC4A2B">
            <w:pPr>
              <w:pStyle w:val="ListParagraph"/>
              <w:numPr>
                <w:ilvl w:val="0"/>
                <w:numId w:val="18"/>
              </w:numPr>
              <w:spacing w:after="0" w:line="240" w:lineRule="auto"/>
              <w:rPr>
                <w:sz w:val="24"/>
              </w:rPr>
            </w:pPr>
            <w:r>
              <w:rPr>
                <w:sz w:val="24"/>
              </w:rPr>
              <w:t>Using Google Classrooms for homework to discover any issues now, in order to prevent a recurrence of previous difficulties</w:t>
            </w:r>
            <w:r w:rsidR="00BC4A2B">
              <w:rPr>
                <w:sz w:val="24"/>
              </w:rPr>
              <w:t xml:space="preserve"> –</w:t>
            </w:r>
            <w:r w:rsidR="00BC4A2B" w:rsidRPr="0062560A">
              <w:rPr>
                <w:sz w:val="24"/>
              </w:rPr>
              <w:t xml:space="preserve"> </w:t>
            </w:r>
            <w:r w:rsidR="00BC4A2B">
              <w:rPr>
                <w:sz w:val="24"/>
              </w:rPr>
              <w:t>during Lockdown, t</w:t>
            </w:r>
            <w:r w:rsidR="00BC4A2B" w:rsidRPr="0062560A">
              <w:rPr>
                <w:sz w:val="24"/>
              </w:rPr>
              <w:t xml:space="preserve">he </w:t>
            </w:r>
            <w:r w:rsidR="00BC4A2B">
              <w:rPr>
                <w:sz w:val="24"/>
              </w:rPr>
              <w:t xml:space="preserve">feedback from families </w:t>
            </w:r>
            <w:r w:rsidR="00BC4A2B" w:rsidRPr="0062560A">
              <w:rPr>
                <w:sz w:val="24"/>
              </w:rPr>
              <w:t xml:space="preserve">was that it could be very difficult to find the activities and resources uploaded by the teacher and it was often very hard working out how to upload work to the teacher through Google Classrooms. The extent of these difficulties varied between different types of devices. </w:t>
            </w:r>
          </w:p>
          <w:p w:rsidR="0062560A" w:rsidRPr="00AF6BC0" w:rsidRDefault="00AF6BC0" w:rsidP="0062560A">
            <w:pPr>
              <w:pStyle w:val="ListParagraph"/>
              <w:numPr>
                <w:ilvl w:val="0"/>
                <w:numId w:val="19"/>
              </w:numPr>
              <w:spacing w:after="0" w:line="240" w:lineRule="auto"/>
              <w:rPr>
                <w:sz w:val="24"/>
              </w:rPr>
            </w:pPr>
            <w:r w:rsidRPr="00AF6BC0">
              <w:rPr>
                <w:sz w:val="24"/>
              </w:rPr>
              <w:t xml:space="preserve">Learning how </w:t>
            </w:r>
          </w:p>
        </w:tc>
      </w:tr>
    </w:tbl>
    <w:p w:rsidR="002B2116" w:rsidRDefault="002B2116">
      <w:pPr>
        <w:spacing w:after="0"/>
        <w:ind w:left="-567" w:right="15970"/>
      </w:pPr>
    </w:p>
    <w:p w:rsidR="0030740C" w:rsidRDefault="0030740C">
      <w:pPr>
        <w:spacing w:after="0"/>
        <w:ind w:left="-567" w:right="15970"/>
      </w:pPr>
    </w:p>
    <w:p w:rsidR="0030740C" w:rsidRDefault="0030740C">
      <w:pPr>
        <w:spacing w:after="0"/>
        <w:ind w:left="-567" w:right="15970"/>
      </w:pPr>
    </w:p>
    <w:tbl>
      <w:tblPr>
        <w:tblStyle w:val="TableGrid"/>
        <w:tblW w:w="15559" w:type="dxa"/>
        <w:tblInd w:w="-115" w:type="dxa"/>
        <w:tblCellMar>
          <w:top w:w="53" w:type="dxa"/>
          <w:left w:w="115" w:type="dxa"/>
          <w:right w:w="115" w:type="dxa"/>
        </w:tblCellMar>
        <w:tblLook w:val="04A0" w:firstRow="1" w:lastRow="0" w:firstColumn="1" w:lastColumn="0" w:noHBand="0" w:noVBand="1"/>
      </w:tblPr>
      <w:tblGrid>
        <w:gridCol w:w="7779"/>
        <w:gridCol w:w="7780"/>
      </w:tblGrid>
      <w:tr w:rsidR="002B2116">
        <w:trPr>
          <w:trHeight w:val="454"/>
        </w:trPr>
        <w:tc>
          <w:tcPr>
            <w:tcW w:w="7779" w:type="dxa"/>
            <w:tcBorders>
              <w:top w:val="single" w:sz="4" w:space="0" w:color="000000"/>
              <w:left w:val="single" w:sz="4" w:space="0" w:color="000000"/>
              <w:bottom w:val="single" w:sz="4" w:space="0" w:color="000000"/>
              <w:right w:val="nil"/>
            </w:tcBorders>
            <w:shd w:val="clear" w:color="auto" w:fill="F2DBDB"/>
          </w:tcPr>
          <w:p w:rsidR="002B2116" w:rsidRDefault="00A23B39">
            <w:r>
              <w:rPr>
                <w:b/>
                <w:sz w:val="24"/>
              </w:rPr>
              <w:t>Section B3 : Supporting learners and their families during COVID-19</w:t>
            </w:r>
          </w:p>
        </w:tc>
        <w:tc>
          <w:tcPr>
            <w:tcW w:w="7780" w:type="dxa"/>
            <w:tcBorders>
              <w:top w:val="single" w:sz="4" w:space="0" w:color="000000"/>
              <w:left w:val="nil"/>
              <w:bottom w:val="single" w:sz="4" w:space="0" w:color="000000"/>
              <w:right w:val="single" w:sz="4" w:space="0" w:color="000000"/>
            </w:tcBorders>
            <w:shd w:val="clear" w:color="auto" w:fill="F2DBDB"/>
          </w:tcPr>
          <w:p w:rsidR="002B2116" w:rsidRDefault="002B2116"/>
        </w:tc>
      </w:tr>
      <w:tr w:rsidR="002B2116">
        <w:trPr>
          <w:trHeight w:val="323"/>
        </w:trPr>
        <w:tc>
          <w:tcPr>
            <w:tcW w:w="15559" w:type="dxa"/>
            <w:gridSpan w:val="2"/>
            <w:tcBorders>
              <w:top w:val="single" w:sz="4" w:space="0" w:color="000000"/>
              <w:left w:val="single" w:sz="4" w:space="0" w:color="000000"/>
              <w:bottom w:val="single" w:sz="4" w:space="0" w:color="000000"/>
              <w:right w:val="single" w:sz="4" w:space="0" w:color="000000"/>
            </w:tcBorders>
          </w:tcPr>
          <w:p w:rsidR="006873F5" w:rsidRDefault="009C49BC" w:rsidP="006873F5">
            <w:pPr>
              <w:pStyle w:val="ListParagraph"/>
              <w:numPr>
                <w:ilvl w:val="0"/>
                <w:numId w:val="18"/>
              </w:numPr>
              <w:spacing w:after="0" w:line="240" w:lineRule="auto"/>
            </w:pPr>
            <w:r>
              <w:t xml:space="preserve">We issued each child with a learning pack of Literacy and Numeracy materials. This pack contained login details for the online resources that the school has subscribed to and the </w:t>
            </w:r>
            <w:r w:rsidR="006873F5">
              <w:t xml:space="preserve">login details for Google Classrooms. </w:t>
            </w:r>
          </w:p>
          <w:p w:rsidR="006873F5" w:rsidRDefault="006873F5" w:rsidP="006873F5">
            <w:pPr>
              <w:pStyle w:val="ListParagraph"/>
              <w:numPr>
                <w:ilvl w:val="0"/>
                <w:numId w:val="18"/>
              </w:numPr>
              <w:spacing w:after="0" w:line="240" w:lineRule="auto"/>
            </w:pPr>
            <w:r>
              <w:t>Where families had not been able to come into the school, staff delivered the packs to their homes.</w:t>
            </w:r>
          </w:p>
          <w:p w:rsidR="002B2116" w:rsidRDefault="006873F5" w:rsidP="006873F5">
            <w:pPr>
              <w:pStyle w:val="ListParagraph"/>
              <w:numPr>
                <w:ilvl w:val="0"/>
                <w:numId w:val="18"/>
              </w:numPr>
              <w:spacing w:after="0" w:line="240" w:lineRule="auto"/>
            </w:pPr>
            <w:r>
              <w:t xml:space="preserve">For the families whose children found it difficult to engage with online learning, we delivered further packs during lockdown. </w:t>
            </w:r>
          </w:p>
          <w:p w:rsidR="006873F5" w:rsidRDefault="006873F5" w:rsidP="006873F5">
            <w:pPr>
              <w:pStyle w:val="ListParagraph"/>
              <w:numPr>
                <w:ilvl w:val="0"/>
                <w:numId w:val="18"/>
              </w:numPr>
              <w:spacing w:after="0" w:line="240" w:lineRule="auto"/>
            </w:pPr>
            <w:r>
              <w:t xml:space="preserve">Most teachers had their Google Classrooms up and running by the time the school was closed and all teachers had them ready for children on the Monday following lockdown. </w:t>
            </w:r>
          </w:p>
          <w:p w:rsidR="00164696" w:rsidRDefault="00164696" w:rsidP="006873F5">
            <w:pPr>
              <w:pStyle w:val="ListParagraph"/>
              <w:numPr>
                <w:ilvl w:val="0"/>
                <w:numId w:val="18"/>
              </w:numPr>
              <w:spacing w:after="0" w:line="240" w:lineRule="auto"/>
            </w:pPr>
            <w:r>
              <w:t xml:space="preserve">Our teachers were uploading new activities and initiating new chats with children every day except the days on which </w:t>
            </w:r>
            <w:r w:rsidR="0030740C">
              <w:t>they were working in the hubs.</w:t>
            </w:r>
          </w:p>
          <w:p w:rsidR="0030740C" w:rsidRDefault="0030740C" w:rsidP="006873F5">
            <w:pPr>
              <w:pStyle w:val="ListParagraph"/>
              <w:numPr>
                <w:ilvl w:val="0"/>
                <w:numId w:val="18"/>
              </w:numPr>
              <w:spacing w:after="0" w:line="240" w:lineRule="auto"/>
            </w:pPr>
            <w:r>
              <w:t>Our teachers responded promptly to almost every post a child made a</w:t>
            </w:r>
            <w:r w:rsidR="005A4546">
              <w:t>nd were always extre</w:t>
            </w:r>
          </w:p>
          <w:p w:rsidR="006873F5" w:rsidRDefault="006873F5" w:rsidP="006873F5">
            <w:pPr>
              <w:pStyle w:val="ListParagraph"/>
              <w:numPr>
                <w:ilvl w:val="0"/>
                <w:numId w:val="18"/>
              </w:numPr>
              <w:spacing w:after="0" w:line="240" w:lineRule="auto"/>
            </w:pPr>
            <w:r>
              <w:t>We monitored the number of children accessing Google Classrooms and introduced new initiatives over lockdown to try to engage the children such as online quizzes, Chat Times, joke sessions etc.</w:t>
            </w:r>
          </w:p>
          <w:p w:rsidR="006873F5" w:rsidRDefault="006873F5" w:rsidP="006873F5">
            <w:pPr>
              <w:pStyle w:val="ListParagraph"/>
              <w:numPr>
                <w:ilvl w:val="0"/>
                <w:numId w:val="18"/>
              </w:numPr>
              <w:spacing w:after="0" w:line="240" w:lineRule="auto"/>
            </w:pPr>
            <w:r>
              <w:lastRenderedPageBreak/>
              <w:t>When there was an online initiative</w:t>
            </w:r>
            <w:r w:rsidR="0084370E">
              <w:t xml:space="preserve"> such as our Keeping Connected activities or Class Chats</w:t>
            </w:r>
            <w:r>
              <w:t>, we wo</w:t>
            </w:r>
            <w:r w:rsidR="00164696">
              <w:t>uld publicise it through texts, emails, Tweets, School App notifications to try to involve more families and children.</w:t>
            </w:r>
          </w:p>
          <w:p w:rsidR="006873F5" w:rsidRDefault="006873F5" w:rsidP="006873F5">
            <w:pPr>
              <w:pStyle w:val="ListParagraph"/>
              <w:numPr>
                <w:ilvl w:val="0"/>
                <w:numId w:val="18"/>
              </w:numPr>
              <w:spacing w:after="0" w:line="240" w:lineRule="auto"/>
            </w:pPr>
            <w:r>
              <w:t>Where children were not accessing Google Classrooms, we phoned the families and offered guidance but did not pressure families because we knew that they were already under pressure from a number of sources.</w:t>
            </w:r>
          </w:p>
          <w:p w:rsidR="006325D6" w:rsidRDefault="006325D6" w:rsidP="006873F5">
            <w:pPr>
              <w:pStyle w:val="ListParagraph"/>
              <w:numPr>
                <w:ilvl w:val="0"/>
                <w:numId w:val="18"/>
              </w:numPr>
              <w:spacing w:after="0" w:line="240" w:lineRule="auto"/>
            </w:pPr>
            <w:r>
              <w:t>Our Wellbeing Support Worker phoned families regularly.</w:t>
            </w:r>
          </w:p>
          <w:p w:rsidR="00752ECE" w:rsidRDefault="00752ECE" w:rsidP="006873F5">
            <w:pPr>
              <w:pStyle w:val="ListParagraph"/>
              <w:numPr>
                <w:ilvl w:val="0"/>
                <w:numId w:val="18"/>
              </w:numPr>
              <w:spacing w:after="0" w:line="240" w:lineRule="auto"/>
            </w:pPr>
            <w:r>
              <w:t>In our phone calls, we focused on the family’s wellbeing as well as any issues they were experiencing with distance learning.</w:t>
            </w:r>
          </w:p>
          <w:p w:rsidR="00164696" w:rsidRDefault="00164696" w:rsidP="006873F5">
            <w:pPr>
              <w:pStyle w:val="ListParagraph"/>
              <w:numPr>
                <w:ilvl w:val="0"/>
                <w:numId w:val="18"/>
              </w:numPr>
              <w:spacing w:after="0" w:line="240" w:lineRule="auto"/>
            </w:pPr>
            <w:r>
              <w:t>We made it clear that we valued all kinds of learning and encouraged families to share photographs of activities such as baking, playing in the garden, building furniture etc. on the Google Classroom.</w:t>
            </w:r>
          </w:p>
          <w:p w:rsidR="006873F5" w:rsidRDefault="00164696" w:rsidP="00164696">
            <w:pPr>
              <w:pStyle w:val="ListParagraph"/>
              <w:numPr>
                <w:ilvl w:val="0"/>
                <w:numId w:val="18"/>
              </w:numPr>
              <w:spacing w:after="0" w:line="240" w:lineRule="auto"/>
            </w:pPr>
            <w:r>
              <w:t>We stayed in regular contact with families through texts, Tweets, School App notifications and phone calls - the frequency of calls was responsive to the family’s needs and preferences.</w:t>
            </w:r>
          </w:p>
          <w:p w:rsidR="00164696" w:rsidRDefault="00164696" w:rsidP="00164696">
            <w:pPr>
              <w:pStyle w:val="ListParagraph"/>
              <w:numPr>
                <w:ilvl w:val="0"/>
                <w:numId w:val="18"/>
              </w:numPr>
              <w:spacing w:after="0" w:line="240" w:lineRule="auto"/>
            </w:pPr>
            <w:r>
              <w:t>We liaised with Social Work, Action for Children and voluntary agencies in order to provide material and emotional support to families.</w:t>
            </w:r>
          </w:p>
          <w:p w:rsidR="00164696" w:rsidRDefault="00164696" w:rsidP="00164696">
            <w:pPr>
              <w:pStyle w:val="ListParagraph"/>
              <w:numPr>
                <w:ilvl w:val="0"/>
                <w:numId w:val="18"/>
              </w:numPr>
              <w:spacing w:after="0" w:line="240" w:lineRule="auto"/>
            </w:pPr>
            <w:r>
              <w:t>We accessed support for families through Education Services such as childcare places in the hubs and free school meal entitlement.</w:t>
            </w:r>
          </w:p>
          <w:p w:rsidR="002F730B" w:rsidRDefault="002F730B" w:rsidP="002F730B">
            <w:pPr>
              <w:pStyle w:val="ListParagraph"/>
              <w:spacing w:after="0" w:line="240" w:lineRule="auto"/>
              <w:ind w:left="700"/>
            </w:pPr>
          </w:p>
        </w:tc>
      </w:tr>
    </w:tbl>
    <w:p w:rsidR="002B2116" w:rsidRDefault="002B2116">
      <w:pPr>
        <w:spacing w:after="0"/>
        <w:ind w:left="-567" w:right="15970"/>
      </w:pPr>
    </w:p>
    <w:p w:rsidR="002F730B" w:rsidRDefault="002F730B"/>
    <w:p w:rsidR="002F730B" w:rsidRDefault="002F730B"/>
    <w:tbl>
      <w:tblPr>
        <w:tblStyle w:val="TableGrid"/>
        <w:tblW w:w="15559" w:type="dxa"/>
        <w:tblInd w:w="-115" w:type="dxa"/>
        <w:tblCellMar>
          <w:top w:w="53" w:type="dxa"/>
          <w:left w:w="115" w:type="dxa"/>
          <w:right w:w="115" w:type="dxa"/>
        </w:tblCellMar>
        <w:tblLook w:val="04A0" w:firstRow="1" w:lastRow="0" w:firstColumn="1" w:lastColumn="0" w:noHBand="0" w:noVBand="1"/>
      </w:tblPr>
      <w:tblGrid>
        <w:gridCol w:w="5353"/>
        <w:gridCol w:w="1985"/>
        <w:gridCol w:w="8221"/>
      </w:tblGrid>
      <w:tr w:rsidR="002B2116">
        <w:trPr>
          <w:trHeight w:val="454"/>
        </w:trPr>
        <w:tc>
          <w:tcPr>
            <w:tcW w:w="5353" w:type="dxa"/>
            <w:tcBorders>
              <w:top w:val="single" w:sz="4" w:space="0" w:color="000000"/>
              <w:left w:val="single" w:sz="4" w:space="0" w:color="000000"/>
              <w:bottom w:val="single" w:sz="4" w:space="0" w:color="000000"/>
              <w:right w:val="nil"/>
            </w:tcBorders>
            <w:shd w:val="clear" w:color="auto" w:fill="F2DBDB"/>
          </w:tcPr>
          <w:p w:rsidR="002B2116" w:rsidRDefault="00A23B39">
            <w:r>
              <w:rPr>
                <w:b/>
                <w:sz w:val="24"/>
              </w:rPr>
              <w:t>Section B4 - Evaluation of Quality Indicators</w:t>
            </w:r>
          </w:p>
        </w:tc>
        <w:tc>
          <w:tcPr>
            <w:tcW w:w="1985" w:type="dxa"/>
            <w:tcBorders>
              <w:top w:val="single" w:sz="4" w:space="0" w:color="000000"/>
              <w:left w:val="nil"/>
              <w:bottom w:val="single" w:sz="4" w:space="0" w:color="000000"/>
              <w:right w:val="nil"/>
            </w:tcBorders>
            <w:shd w:val="clear" w:color="auto" w:fill="F2DBDB"/>
          </w:tcPr>
          <w:p w:rsidR="002B2116" w:rsidRDefault="002B2116"/>
        </w:tc>
        <w:tc>
          <w:tcPr>
            <w:tcW w:w="8221" w:type="dxa"/>
            <w:tcBorders>
              <w:top w:val="single" w:sz="4" w:space="0" w:color="000000"/>
              <w:left w:val="nil"/>
              <w:bottom w:val="single" w:sz="4" w:space="0" w:color="000000"/>
              <w:right w:val="single" w:sz="4" w:space="0" w:color="000000"/>
            </w:tcBorders>
            <w:shd w:val="clear" w:color="auto" w:fill="F2DBDB"/>
          </w:tcPr>
          <w:p w:rsidR="002B2116" w:rsidRDefault="002B2116"/>
        </w:tc>
      </w:tr>
      <w:tr w:rsidR="002B2116">
        <w:trPr>
          <w:trHeight w:val="534"/>
        </w:trPr>
        <w:tc>
          <w:tcPr>
            <w:tcW w:w="5353"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Quality Indicator</w:t>
            </w:r>
          </w:p>
        </w:tc>
        <w:tc>
          <w:tcPr>
            <w:tcW w:w="1985"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School Self-</w:t>
            </w:r>
          </w:p>
        </w:tc>
        <w:tc>
          <w:tcPr>
            <w:tcW w:w="8221"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Inspection Evaluation</w:t>
            </w:r>
          </w:p>
        </w:tc>
      </w:tr>
      <w:tr w:rsidR="002B2116">
        <w:trPr>
          <w:trHeight w:val="298"/>
        </w:trPr>
        <w:tc>
          <w:tcPr>
            <w:tcW w:w="5353" w:type="dxa"/>
            <w:tcBorders>
              <w:top w:val="single" w:sz="4" w:space="0" w:color="000000"/>
              <w:left w:val="single" w:sz="4" w:space="0" w:color="000000"/>
              <w:bottom w:val="single" w:sz="4" w:space="0" w:color="000000"/>
              <w:right w:val="single" w:sz="4" w:space="0" w:color="000000"/>
            </w:tcBorders>
          </w:tcPr>
          <w:p w:rsidR="002B2116" w:rsidRDefault="002B2116"/>
        </w:tc>
        <w:tc>
          <w:tcPr>
            <w:tcW w:w="1985"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Evaluation (1-6)</w:t>
            </w:r>
          </w:p>
        </w:tc>
        <w:tc>
          <w:tcPr>
            <w:tcW w:w="8221" w:type="dxa"/>
            <w:tcBorders>
              <w:top w:val="single" w:sz="4" w:space="0" w:color="000000"/>
              <w:left w:val="single" w:sz="4" w:space="0" w:color="000000"/>
              <w:bottom w:val="single" w:sz="4" w:space="0" w:color="000000"/>
              <w:right w:val="single" w:sz="4" w:space="0" w:color="000000"/>
            </w:tcBorders>
          </w:tcPr>
          <w:p w:rsidR="002B2116" w:rsidRDefault="00A23B39">
            <w:r>
              <w:rPr>
                <w:b/>
                <w:sz w:val="24"/>
              </w:rPr>
              <w:t>Date:</w:t>
            </w:r>
          </w:p>
        </w:tc>
      </w:tr>
      <w:tr w:rsidR="002B2116" w:rsidTr="002F730B">
        <w:trPr>
          <w:trHeight w:val="346"/>
        </w:trPr>
        <w:tc>
          <w:tcPr>
            <w:tcW w:w="5353" w:type="dxa"/>
            <w:tcBorders>
              <w:top w:val="single" w:sz="4" w:space="0" w:color="000000"/>
              <w:left w:val="single" w:sz="4" w:space="0" w:color="000000"/>
              <w:bottom w:val="single" w:sz="4" w:space="0" w:color="000000"/>
              <w:right w:val="single" w:sz="4" w:space="0" w:color="000000"/>
            </w:tcBorders>
            <w:vAlign w:val="center"/>
          </w:tcPr>
          <w:p w:rsidR="002B2116" w:rsidRDefault="00A23B39">
            <w:r>
              <w:rPr>
                <w:sz w:val="24"/>
              </w:rPr>
              <w:t>1.3 Leadership of change</w:t>
            </w:r>
          </w:p>
        </w:tc>
        <w:tc>
          <w:tcPr>
            <w:tcW w:w="1985" w:type="dxa"/>
            <w:tcBorders>
              <w:top w:val="single" w:sz="4" w:space="0" w:color="000000"/>
              <w:left w:val="single" w:sz="4" w:space="0" w:color="000000"/>
              <w:bottom w:val="single" w:sz="4" w:space="0" w:color="000000"/>
              <w:right w:val="single" w:sz="4" w:space="0" w:color="000000"/>
            </w:tcBorders>
          </w:tcPr>
          <w:p w:rsidR="002B2116" w:rsidRDefault="009C49BC">
            <w:r>
              <w:t>4 Good</w:t>
            </w:r>
          </w:p>
        </w:tc>
        <w:tc>
          <w:tcPr>
            <w:tcW w:w="8221" w:type="dxa"/>
            <w:tcBorders>
              <w:top w:val="single" w:sz="4" w:space="0" w:color="000000"/>
              <w:left w:val="single" w:sz="4" w:space="0" w:color="000000"/>
              <w:bottom w:val="single" w:sz="4" w:space="0" w:color="000000"/>
              <w:right w:val="single" w:sz="4" w:space="0" w:color="000000"/>
            </w:tcBorders>
          </w:tcPr>
          <w:p w:rsidR="002B2116" w:rsidRDefault="002B2116"/>
        </w:tc>
      </w:tr>
      <w:tr w:rsidR="002B2116" w:rsidTr="002F730B">
        <w:trPr>
          <w:trHeight w:val="334"/>
        </w:trPr>
        <w:tc>
          <w:tcPr>
            <w:tcW w:w="5353" w:type="dxa"/>
            <w:tcBorders>
              <w:top w:val="single" w:sz="4" w:space="0" w:color="000000"/>
              <w:left w:val="single" w:sz="4" w:space="0" w:color="000000"/>
              <w:bottom w:val="single" w:sz="4" w:space="0" w:color="000000"/>
              <w:right w:val="single" w:sz="4" w:space="0" w:color="000000"/>
            </w:tcBorders>
            <w:vAlign w:val="center"/>
          </w:tcPr>
          <w:p w:rsidR="002B2116" w:rsidRDefault="00A23B39">
            <w:r>
              <w:rPr>
                <w:sz w:val="24"/>
              </w:rPr>
              <w:t>2.3 Learning, teaching and assessment</w:t>
            </w:r>
          </w:p>
        </w:tc>
        <w:tc>
          <w:tcPr>
            <w:tcW w:w="1985" w:type="dxa"/>
            <w:tcBorders>
              <w:top w:val="single" w:sz="4" w:space="0" w:color="000000"/>
              <w:left w:val="single" w:sz="4" w:space="0" w:color="000000"/>
              <w:bottom w:val="single" w:sz="4" w:space="0" w:color="000000"/>
              <w:right w:val="single" w:sz="4" w:space="0" w:color="000000"/>
            </w:tcBorders>
          </w:tcPr>
          <w:p w:rsidR="002B2116" w:rsidRDefault="009C49BC">
            <w:r>
              <w:t>4 Good</w:t>
            </w:r>
          </w:p>
        </w:tc>
        <w:tc>
          <w:tcPr>
            <w:tcW w:w="8221" w:type="dxa"/>
            <w:tcBorders>
              <w:top w:val="single" w:sz="4" w:space="0" w:color="000000"/>
              <w:left w:val="single" w:sz="4" w:space="0" w:color="000000"/>
              <w:bottom w:val="single" w:sz="4" w:space="0" w:color="000000"/>
              <w:right w:val="single" w:sz="4" w:space="0" w:color="000000"/>
            </w:tcBorders>
          </w:tcPr>
          <w:p w:rsidR="002B2116" w:rsidRDefault="002B2116"/>
        </w:tc>
      </w:tr>
      <w:tr w:rsidR="002B2116" w:rsidTr="002F730B">
        <w:trPr>
          <w:trHeight w:val="334"/>
        </w:trPr>
        <w:tc>
          <w:tcPr>
            <w:tcW w:w="5353" w:type="dxa"/>
            <w:tcBorders>
              <w:top w:val="single" w:sz="4" w:space="0" w:color="000000"/>
              <w:left w:val="single" w:sz="4" w:space="0" w:color="000000"/>
              <w:bottom w:val="single" w:sz="4" w:space="0" w:color="000000"/>
              <w:right w:val="single" w:sz="4" w:space="0" w:color="000000"/>
            </w:tcBorders>
            <w:vAlign w:val="center"/>
          </w:tcPr>
          <w:p w:rsidR="002B2116" w:rsidRDefault="00A23B39">
            <w:r>
              <w:rPr>
                <w:sz w:val="24"/>
              </w:rPr>
              <w:t>3.1 Ensuring wellbeing, equity and inclusion</w:t>
            </w:r>
          </w:p>
        </w:tc>
        <w:tc>
          <w:tcPr>
            <w:tcW w:w="1985" w:type="dxa"/>
            <w:tcBorders>
              <w:top w:val="single" w:sz="4" w:space="0" w:color="000000"/>
              <w:left w:val="single" w:sz="4" w:space="0" w:color="000000"/>
              <w:bottom w:val="single" w:sz="4" w:space="0" w:color="000000"/>
              <w:right w:val="single" w:sz="4" w:space="0" w:color="000000"/>
            </w:tcBorders>
          </w:tcPr>
          <w:p w:rsidR="002B2116" w:rsidRDefault="009C49BC">
            <w:r>
              <w:t>4 Good</w:t>
            </w:r>
          </w:p>
        </w:tc>
        <w:tc>
          <w:tcPr>
            <w:tcW w:w="8221" w:type="dxa"/>
            <w:tcBorders>
              <w:top w:val="single" w:sz="4" w:space="0" w:color="000000"/>
              <w:left w:val="single" w:sz="4" w:space="0" w:color="000000"/>
              <w:bottom w:val="single" w:sz="4" w:space="0" w:color="000000"/>
              <w:right w:val="single" w:sz="4" w:space="0" w:color="000000"/>
            </w:tcBorders>
          </w:tcPr>
          <w:p w:rsidR="002B2116" w:rsidRDefault="002B2116"/>
        </w:tc>
      </w:tr>
      <w:tr w:rsidR="002B2116" w:rsidTr="002F730B">
        <w:trPr>
          <w:trHeight w:val="226"/>
        </w:trPr>
        <w:tc>
          <w:tcPr>
            <w:tcW w:w="5353" w:type="dxa"/>
            <w:tcBorders>
              <w:top w:val="single" w:sz="4" w:space="0" w:color="000000"/>
              <w:left w:val="single" w:sz="4" w:space="0" w:color="000000"/>
              <w:bottom w:val="single" w:sz="4" w:space="0" w:color="000000"/>
              <w:right w:val="single" w:sz="4" w:space="0" w:color="000000"/>
            </w:tcBorders>
            <w:vAlign w:val="center"/>
          </w:tcPr>
          <w:p w:rsidR="002B2116" w:rsidRDefault="00A23B39">
            <w:r>
              <w:rPr>
                <w:sz w:val="24"/>
              </w:rPr>
              <w:t>3.2 Raising attainment and achievement</w:t>
            </w:r>
          </w:p>
        </w:tc>
        <w:tc>
          <w:tcPr>
            <w:tcW w:w="1985" w:type="dxa"/>
            <w:tcBorders>
              <w:top w:val="single" w:sz="4" w:space="0" w:color="000000"/>
              <w:left w:val="single" w:sz="4" w:space="0" w:color="000000"/>
              <w:bottom w:val="single" w:sz="4" w:space="0" w:color="000000"/>
              <w:right w:val="single" w:sz="4" w:space="0" w:color="000000"/>
            </w:tcBorders>
          </w:tcPr>
          <w:p w:rsidR="002B2116" w:rsidRDefault="009C49BC">
            <w:r>
              <w:t>4 Good</w:t>
            </w:r>
          </w:p>
        </w:tc>
        <w:tc>
          <w:tcPr>
            <w:tcW w:w="8221" w:type="dxa"/>
            <w:tcBorders>
              <w:top w:val="single" w:sz="4" w:space="0" w:color="000000"/>
              <w:left w:val="single" w:sz="4" w:space="0" w:color="000000"/>
              <w:bottom w:val="single" w:sz="4" w:space="0" w:color="000000"/>
              <w:right w:val="single" w:sz="4" w:space="0" w:color="000000"/>
            </w:tcBorders>
          </w:tcPr>
          <w:p w:rsidR="002B2116" w:rsidRDefault="002B2116"/>
        </w:tc>
      </w:tr>
    </w:tbl>
    <w:p w:rsidR="002B2116" w:rsidRPr="009C49BC" w:rsidRDefault="00A23B39">
      <w:pPr>
        <w:spacing w:after="108" w:line="250" w:lineRule="auto"/>
        <w:ind w:left="-5" w:right="960" w:hanging="10"/>
        <w:rPr>
          <w:color w:val="FFFFFF" w:themeColor="background1"/>
        </w:rPr>
      </w:pPr>
      <w:r w:rsidRPr="009C49BC">
        <w:rPr>
          <w:b/>
          <w:i/>
          <w:color w:val="FFFFFF" w:themeColor="background1"/>
          <w:sz w:val="24"/>
        </w:rPr>
        <w:t xml:space="preserve">Appendix D2 </w:t>
      </w:r>
    </w:p>
    <w:p w:rsidR="002B2116" w:rsidRDefault="002B2116">
      <w:pPr>
        <w:spacing w:after="0"/>
        <w:ind w:left="301"/>
        <w:jc w:val="center"/>
      </w:pPr>
    </w:p>
    <w:p w:rsidR="002B2116" w:rsidRDefault="002B2116">
      <w:pPr>
        <w:spacing w:after="0"/>
        <w:ind w:left="-567" w:right="15970"/>
      </w:pPr>
    </w:p>
    <w:p w:rsidR="002B2116" w:rsidRDefault="002B2116">
      <w:pPr>
        <w:spacing w:after="0"/>
        <w:ind w:left="-567" w:right="15970"/>
      </w:pPr>
    </w:p>
    <w:p w:rsidR="002B2116" w:rsidRDefault="00A23B39">
      <w:pPr>
        <w:spacing w:after="0"/>
        <w:ind w:left="2711"/>
      </w:pPr>
      <w:r>
        <w:rPr>
          <w:color w:val="632423"/>
          <w:sz w:val="28"/>
        </w:rPr>
        <w:t xml:space="preserve">   </w:t>
      </w:r>
    </w:p>
    <w:p w:rsidR="002B2116" w:rsidRDefault="002B2116">
      <w:pPr>
        <w:spacing w:after="0"/>
        <w:ind w:left="-567" w:right="15970"/>
      </w:pPr>
    </w:p>
    <w:p w:rsidR="002B2116" w:rsidRDefault="002B2116" w:rsidP="009C49BC">
      <w:pPr>
        <w:spacing w:after="108" w:line="250" w:lineRule="auto"/>
        <w:ind w:left="-5" w:right="960" w:hanging="10"/>
      </w:pPr>
    </w:p>
    <w:sectPr w:rsidR="002B2116" w:rsidSect="009C49BC">
      <w:headerReference w:type="even" r:id="rId9"/>
      <w:headerReference w:type="default" r:id="rId10"/>
      <w:footerReference w:type="even" r:id="rId11"/>
      <w:footerReference w:type="default" r:id="rId12"/>
      <w:headerReference w:type="first" r:id="rId13"/>
      <w:footerReference w:type="first" r:id="rId14"/>
      <w:pgSz w:w="16820" w:h="11900" w:orient="landscape"/>
      <w:pgMar w:top="720" w:right="720" w:bottom="720" w:left="720" w:header="720" w:footer="4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8A" w:rsidRDefault="0039218A">
      <w:pPr>
        <w:spacing w:after="0" w:line="240" w:lineRule="auto"/>
      </w:pPr>
      <w:r>
        <w:separator/>
      </w:r>
    </w:p>
  </w:endnote>
  <w:endnote w:type="continuationSeparator" w:id="0">
    <w:p w:rsidR="0039218A" w:rsidRDefault="0039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8A" w:rsidRDefault="0039218A">
    <w:pPr>
      <w:spacing w:after="0"/>
      <w:ind w:right="674"/>
      <w:jc w:val="center"/>
    </w:pPr>
    <w:r>
      <w:rPr>
        <w:noProof/>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10387330</wp:posOffset>
              </wp:positionV>
              <wp:extent cx="7556500" cy="57150"/>
              <wp:effectExtent l="0" t="0" r="0" b="0"/>
              <wp:wrapSquare wrapText="bothSides"/>
              <wp:docPr id="16275" name="Group 16275"/>
              <wp:cNvGraphicFramePr/>
              <a:graphic xmlns:a="http://schemas.openxmlformats.org/drawingml/2006/main">
                <a:graphicData uri="http://schemas.microsoft.com/office/word/2010/wordprocessingGroup">
                  <wpg:wgp>
                    <wpg:cNvGrpSpPr/>
                    <wpg:grpSpPr>
                      <a:xfrm>
                        <a:off x="0" y="0"/>
                        <a:ext cx="7556500" cy="57150"/>
                        <a:chOff x="0" y="0"/>
                        <a:chExt cx="7556500" cy="57150"/>
                      </a:xfrm>
                    </wpg:grpSpPr>
                    <wps:wsp>
                      <wps:cNvPr id="16276" name="Shape 16276"/>
                      <wps:cNvSpPr/>
                      <wps:spPr>
                        <a:xfrm>
                          <a:off x="0" y="0"/>
                          <a:ext cx="7556500" cy="0"/>
                        </a:xfrm>
                        <a:custGeom>
                          <a:avLst/>
                          <a:gdLst/>
                          <a:ahLst/>
                          <a:cxnLst/>
                          <a:rect l="0" t="0" r="0" b="0"/>
                          <a:pathLst>
                            <a:path w="7556500">
                              <a:moveTo>
                                <a:pt x="7556500" y="0"/>
                              </a:moveTo>
                              <a:lnTo>
                                <a:pt x="0" y="0"/>
                              </a:lnTo>
                            </a:path>
                          </a:pathLst>
                        </a:custGeom>
                        <a:ln w="57150" cap="flat">
                          <a:miter lim="100000"/>
                        </a:ln>
                      </wps:spPr>
                      <wps:style>
                        <a:lnRef idx="1">
                          <a:srgbClr val="56061F"/>
                        </a:lnRef>
                        <a:fillRef idx="0">
                          <a:srgbClr val="000000">
                            <a:alpha val="0"/>
                          </a:srgbClr>
                        </a:fillRef>
                        <a:effectRef idx="0">
                          <a:scrgbClr r="0" g="0" b="0"/>
                        </a:effectRef>
                        <a:fontRef idx="none"/>
                      </wps:style>
                      <wps:bodyPr/>
                    </wps:wsp>
                  </wpg:wgp>
                </a:graphicData>
              </a:graphic>
            </wp:anchor>
          </w:drawing>
        </mc:Choice>
        <mc:Fallback>
          <w:pict>
            <v:group w14:anchorId="1726A639" id="Group 16275" o:spid="_x0000_s1026" style="position:absolute;margin-left:0;margin-top:817.9pt;width:595pt;height:4.5pt;z-index:251672576;mso-position-horizontal-relative:page;mso-position-vertical-relative:page" coordsize="7556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">
              <v:shape id="Shape 16276" o:spid="_x0000_s1027" style="position:absolute;width:75565;height:0;visibility:visible;mso-wrap-style:square;v-text-anchor:top" coordsize="755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xkcIA&#10;AADeAAAADwAAAGRycy9kb3ducmV2LnhtbERPzYrCMBC+C/sOYRa8aWoPVbpGURdlj/49wJCMbdlm&#10;0m2irfv0RhC8zcf3O/Nlb2txo9ZXjhVMxgkIYu1MxYWC82k7moHwAdlg7ZgU3MnDcvExmGNuXMcH&#10;uh1DIWII+xwVlCE0uZRel2TRj11DHLmLay2GCNtCmha7GG5rmSZJJi1WHBtKbGhTkv49Xq2C6+5v&#10;9d9dTptinX7rmT/ofWCv1PCzX32BCNSHt/jl/jFxfpZOM3i+E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DGRwgAAAN4AAAAPAAAAAAAAAAAAAAAAAJgCAABkcnMvZG93&#10;bnJldi54bWxQSwUGAAAAAAQABAD1AAAAhwMAAAAA&#10;" path="m7556500,l,e" filled="f" strokecolor="#56061f" strokeweight="4.5pt">
                <v:stroke miterlimit="1" joinstyle="miter"/>
                <v:path arrowok="t" textboxrect="0,0,7556500,0"/>
              </v:shape>
              <w10:wrap type="square" anchorx="page" anchory="page"/>
            </v:group>
          </w:pict>
        </mc:Fallback>
      </mc:AlternateContent>
    </w:r>
    <w:r>
      <w:fldChar w:fldCharType="begin"/>
    </w:r>
    <w:r>
      <w:instrText xml:space="preserve"> PAGE   \* MERGEFORMAT </w:instrText>
    </w:r>
    <w:r>
      <w:fldChar w:fldCharType="separate"/>
    </w:r>
    <w:r w:rsidR="003E65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8A" w:rsidRDefault="0039218A">
    <w:pPr>
      <w:spacing w:after="0"/>
      <w:ind w:right="674"/>
      <w:jc w:val="center"/>
    </w:pPr>
    <w:r>
      <w:rPr>
        <w:noProof/>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10387330</wp:posOffset>
              </wp:positionV>
              <wp:extent cx="7556500" cy="57150"/>
              <wp:effectExtent l="0" t="0" r="0" b="0"/>
              <wp:wrapSquare wrapText="bothSides"/>
              <wp:docPr id="16266" name="Group 16266"/>
              <wp:cNvGraphicFramePr/>
              <a:graphic xmlns:a="http://schemas.openxmlformats.org/drawingml/2006/main">
                <a:graphicData uri="http://schemas.microsoft.com/office/word/2010/wordprocessingGroup">
                  <wpg:wgp>
                    <wpg:cNvGrpSpPr/>
                    <wpg:grpSpPr>
                      <a:xfrm>
                        <a:off x="0" y="0"/>
                        <a:ext cx="7556500" cy="57150"/>
                        <a:chOff x="0" y="0"/>
                        <a:chExt cx="7556500" cy="57150"/>
                      </a:xfrm>
                    </wpg:grpSpPr>
                    <wps:wsp>
                      <wps:cNvPr id="16267" name="Shape 16267"/>
                      <wps:cNvSpPr/>
                      <wps:spPr>
                        <a:xfrm>
                          <a:off x="0" y="0"/>
                          <a:ext cx="7556500" cy="0"/>
                        </a:xfrm>
                        <a:custGeom>
                          <a:avLst/>
                          <a:gdLst/>
                          <a:ahLst/>
                          <a:cxnLst/>
                          <a:rect l="0" t="0" r="0" b="0"/>
                          <a:pathLst>
                            <a:path w="7556500">
                              <a:moveTo>
                                <a:pt x="7556500" y="0"/>
                              </a:moveTo>
                              <a:lnTo>
                                <a:pt x="0" y="0"/>
                              </a:lnTo>
                            </a:path>
                          </a:pathLst>
                        </a:custGeom>
                        <a:ln w="57150" cap="flat">
                          <a:miter lim="100000"/>
                        </a:ln>
                      </wps:spPr>
                      <wps:style>
                        <a:lnRef idx="1">
                          <a:srgbClr val="56061F"/>
                        </a:lnRef>
                        <a:fillRef idx="0">
                          <a:srgbClr val="000000">
                            <a:alpha val="0"/>
                          </a:srgbClr>
                        </a:fillRef>
                        <a:effectRef idx="0">
                          <a:scrgbClr r="0" g="0" b="0"/>
                        </a:effectRef>
                        <a:fontRef idx="none"/>
                      </wps:style>
                      <wps:bodyPr/>
                    </wps:wsp>
                  </wpg:wgp>
                </a:graphicData>
              </a:graphic>
            </wp:anchor>
          </w:drawing>
        </mc:Choice>
        <mc:Fallback>
          <w:pict>
            <v:group w14:anchorId="7B283BF9" id="Group 16266" o:spid="_x0000_s1026" style="position:absolute;margin-left:0;margin-top:817.9pt;width:595pt;height:4.5pt;z-index:251673600;mso-position-horizontal-relative:page;mso-position-vertical-relative:page" coordsize="7556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">
              <v:shape id="Shape 16267" o:spid="_x0000_s1027" style="position:absolute;width:75565;height:0;visibility:visible;mso-wrap-style:square;v-text-anchor:top" coordsize="755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C18IA&#10;AADeAAAADwAAAGRycy9kb3ducmV2LnhtbERPzYrCMBC+C/sOYRa8aWoPVbpGURdlj/49wJCMbdlm&#10;0m2irfv0RhC8zcf3O/Nlb2txo9ZXjhVMxgkIYu1MxYWC82k7moHwAdlg7ZgU3MnDcvExmGNuXMcH&#10;uh1DIWII+xwVlCE0uZRel2TRj11DHLmLay2GCNtCmha7GG5rmSZJJi1WHBtKbGhTkv49Xq2C6+5v&#10;9d9dTptinX7rmT/ofWCv1PCzX32BCNSHt/jl/jFxfpZmU3i+E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QLXwgAAAN4AAAAPAAAAAAAAAAAAAAAAAJgCAABkcnMvZG93&#10;bnJldi54bWxQSwUGAAAAAAQABAD1AAAAhwMAAAAA&#10;" path="m7556500,l,e" filled="f" strokecolor="#56061f" strokeweight="4.5pt">
                <v:stroke miterlimit="1" joinstyle="miter"/>
                <v:path arrowok="t" textboxrect="0,0,7556500,0"/>
              </v:shape>
              <w10:wrap type="square" anchorx="page" anchory="page"/>
            </v:group>
          </w:pict>
        </mc:Fallback>
      </mc:AlternateContent>
    </w:r>
    <w:r>
      <w:fldChar w:fldCharType="begin"/>
    </w:r>
    <w:r>
      <w:instrText xml:space="preserve"> PAGE   \* MERGEFORMAT </w:instrText>
    </w:r>
    <w:r>
      <w:fldChar w:fldCharType="separate"/>
    </w:r>
    <w:r w:rsidR="003E65D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8A" w:rsidRDefault="0039218A">
    <w:pPr>
      <w:spacing w:after="0"/>
      <w:ind w:right="674"/>
      <w:jc w:val="center"/>
    </w:pPr>
    <w:r>
      <w:rPr>
        <w:noProof/>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10387330</wp:posOffset>
              </wp:positionV>
              <wp:extent cx="7556500" cy="57150"/>
              <wp:effectExtent l="0" t="0" r="0" b="0"/>
              <wp:wrapSquare wrapText="bothSides"/>
              <wp:docPr id="16257" name="Group 16257"/>
              <wp:cNvGraphicFramePr/>
              <a:graphic xmlns:a="http://schemas.openxmlformats.org/drawingml/2006/main">
                <a:graphicData uri="http://schemas.microsoft.com/office/word/2010/wordprocessingGroup">
                  <wpg:wgp>
                    <wpg:cNvGrpSpPr/>
                    <wpg:grpSpPr>
                      <a:xfrm>
                        <a:off x="0" y="0"/>
                        <a:ext cx="7556500" cy="57150"/>
                        <a:chOff x="0" y="0"/>
                        <a:chExt cx="7556500" cy="57150"/>
                      </a:xfrm>
                    </wpg:grpSpPr>
                    <wps:wsp>
                      <wps:cNvPr id="16258" name="Shape 16258"/>
                      <wps:cNvSpPr/>
                      <wps:spPr>
                        <a:xfrm>
                          <a:off x="0" y="0"/>
                          <a:ext cx="7556500" cy="0"/>
                        </a:xfrm>
                        <a:custGeom>
                          <a:avLst/>
                          <a:gdLst/>
                          <a:ahLst/>
                          <a:cxnLst/>
                          <a:rect l="0" t="0" r="0" b="0"/>
                          <a:pathLst>
                            <a:path w="7556500">
                              <a:moveTo>
                                <a:pt x="7556500" y="0"/>
                              </a:moveTo>
                              <a:lnTo>
                                <a:pt x="0" y="0"/>
                              </a:lnTo>
                            </a:path>
                          </a:pathLst>
                        </a:custGeom>
                        <a:ln w="57150" cap="flat">
                          <a:miter lim="100000"/>
                        </a:ln>
                      </wps:spPr>
                      <wps:style>
                        <a:lnRef idx="1">
                          <a:srgbClr val="56061F"/>
                        </a:lnRef>
                        <a:fillRef idx="0">
                          <a:srgbClr val="000000">
                            <a:alpha val="0"/>
                          </a:srgbClr>
                        </a:fillRef>
                        <a:effectRef idx="0">
                          <a:scrgbClr r="0" g="0" b="0"/>
                        </a:effectRef>
                        <a:fontRef idx="none"/>
                      </wps:style>
                      <wps:bodyPr/>
                    </wps:wsp>
                  </wpg:wgp>
                </a:graphicData>
              </a:graphic>
            </wp:anchor>
          </w:drawing>
        </mc:Choice>
        <mc:Fallback>
          <w:pict>
            <v:group w14:anchorId="0174AD6B" id="Group 16257" o:spid="_x0000_s1026" style="position:absolute;margin-left:0;margin-top:817.9pt;width:595pt;height:4.5pt;z-index:251674624;mso-position-horizontal-relative:page;mso-position-vertical-relative:page" coordsize="7556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">
              <v:shape id="Shape 16258" o:spid="_x0000_s1027" style="position:absolute;width:75565;height:0;visibility:visible;mso-wrap-style:square;v-text-anchor:top" coordsize="755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cGMUA&#10;AADeAAAADwAAAGRycy9kb3ducmV2LnhtbESPQW/CMAyF75P4D5GRdhsplUCoIyBgGtpxwH6AlZi2&#10;onFKE2i3Xz8fkLjZes/vfV6uB9+oO3WxDmxgOslAEdvgai4N/Jw+3xagYkJ22AQmA78UYb0avSyx&#10;cKHnA92PqVQSwrFAA1VKbaF1tBV5jJPQEot2Dp3HJGtXatdhL+G+0XmWzbXHmqWhwpZ2FdnL8eYN&#10;3PbXzV9/Pu3Kbf5hF/FgvxNHY17Hw+YdVKIhPc2P6y8n+PN8Jrzyjs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lwYxQAAAN4AAAAPAAAAAAAAAAAAAAAAAJgCAABkcnMv&#10;ZG93bnJldi54bWxQSwUGAAAAAAQABAD1AAAAigMAAAAA&#10;" path="m7556500,l,e" filled="f" strokecolor="#56061f" strokeweight="4.5pt">
                <v:stroke miterlimit="1" joinstyle="miter"/>
                <v:path arrowok="t" textboxrect="0,0,7556500,0"/>
              </v:shape>
              <w10:wrap type="square" anchorx="page" anchory="page"/>
            </v:group>
          </w:pict>
        </mc:Fallback>
      </mc:AlternateConten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8A" w:rsidRDefault="0039218A">
      <w:pPr>
        <w:spacing w:after="0" w:line="240" w:lineRule="auto"/>
      </w:pPr>
      <w:r>
        <w:separator/>
      </w:r>
    </w:p>
  </w:footnote>
  <w:footnote w:type="continuationSeparator" w:id="0">
    <w:p w:rsidR="0039218A" w:rsidRDefault="0039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8A" w:rsidRDefault="003921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8A" w:rsidRDefault="003921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8A" w:rsidRDefault="003921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D57"/>
    <w:multiLevelType w:val="hybridMultilevel"/>
    <w:tmpl w:val="8312E22E"/>
    <w:lvl w:ilvl="0" w:tplc="B1FED21E">
      <w:start w:val="1"/>
      <w:numFmt w:val="bullet"/>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5E86B6">
      <w:start w:val="1"/>
      <w:numFmt w:val="bullet"/>
      <w:lvlText w:val="o"/>
      <w:lvlJc w:val="left"/>
      <w:pPr>
        <w:ind w:left="2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4A8348">
      <w:start w:val="1"/>
      <w:numFmt w:val="bullet"/>
      <w:lvlText w:val="▪"/>
      <w:lvlJc w:val="left"/>
      <w:pPr>
        <w:ind w:left="3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84BF6E">
      <w:start w:val="1"/>
      <w:numFmt w:val="bullet"/>
      <w:lvlText w:val="•"/>
      <w:lvlJc w:val="left"/>
      <w:pPr>
        <w:ind w:left="4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6A41A6">
      <w:start w:val="1"/>
      <w:numFmt w:val="bullet"/>
      <w:lvlText w:val="o"/>
      <w:lvlJc w:val="left"/>
      <w:pPr>
        <w:ind w:left="5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30A332">
      <w:start w:val="1"/>
      <w:numFmt w:val="bullet"/>
      <w:lvlText w:val="▪"/>
      <w:lvlJc w:val="left"/>
      <w:pPr>
        <w:ind w:left="5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6E0116">
      <w:start w:val="1"/>
      <w:numFmt w:val="bullet"/>
      <w:lvlText w:val="•"/>
      <w:lvlJc w:val="left"/>
      <w:pPr>
        <w:ind w:left="6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683218">
      <w:start w:val="1"/>
      <w:numFmt w:val="bullet"/>
      <w:lvlText w:val="o"/>
      <w:lvlJc w:val="left"/>
      <w:pPr>
        <w:ind w:left="7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D26C30">
      <w:start w:val="1"/>
      <w:numFmt w:val="bullet"/>
      <w:lvlText w:val="▪"/>
      <w:lvlJc w:val="left"/>
      <w:pPr>
        <w:ind w:left="7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C2072"/>
    <w:multiLevelType w:val="hybridMultilevel"/>
    <w:tmpl w:val="CBEA89DE"/>
    <w:lvl w:ilvl="0" w:tplc="A470C778">
      <w:start w:val="1"/>
      <w:numFmt w:val="bullet"/>
      <w:lvlText w:val=""/>
      <w:lvlJc w:val="left"/>
      <w:pPr>
        <w:ind w:left="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3203BC">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D6936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7A06F0">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7C6A96">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B63EF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E4B4B0">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DA44B2">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0AE95E">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807286"/>
    <w:multiLevelType w:val="hybridMultilevel"/>
    <w:tmpl w:val="BCF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36DD"/>
    <w:multiLevelType w:val="hybridMultilevel"/>
    <w:tmpl w:val="F0A8F850"/>
    <w:lvl w:ilvl="0" w:tplc="D7927C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085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7E33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6FC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E18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00D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402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CD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2E08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D607FF"/>
    <w:multiLevelType w:val="hybridMultilevel"/>
    <w:tmpl w:val="01AA317A"/>
    <w:lvl w:ilvl="0" w:tplc="60DC3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42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AC0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67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68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61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36B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C8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01F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7D4898"/>
    <w:multiLevelType w:val="hybridMultilevel"/>
    <w:tmpl w:val="5EFA15CE"/>
    <w:lvl w:ilvl="0" w:tplc="F536C70C">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C185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84E008">
      <w:start w:val="1"/>
      <w:numFmt w:val="bullet"/>
      <w:lvlText w:val="▪"/>
      <w:lvlJc w:val="left"/>
      <w:pPr>
        <w:ind w:left="2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221ECC">
      <w:start w:val="1"/>
      <w:numFmt w:val="bullet"/>
      <w:lvlText w:val="•"/>
      <w:lvlJc w:val="left"/>
      <w:pPr>
        <w:ind w:left="3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92E714">
      <w:start w:val="1"/>
      <w:numFmt w:val="bullet"/>
      <w:lvlText w:val="o"/>
      <w:lvlJc w:val="left"/>
      <w:pPr>
        <w:ind w:left="3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F08F70">
      <w:start w:val="1"/>
      <w:numFmt w:val="bullet"/>
      <w:lvlText w:val="▪"/>
      <w:lvlJc w:val="left"/>
      <w:pPr>
        <w:ind w:left="4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7050F4">
      <w:start w:val="1"/>
      <w:numFmt w:val="bullet"/>
      <w:lvlText w:val="•"/>
      <w:lvlJc w:val="left"/>
      <w:pPr>
        <w:ind w:left="5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0CEDB6">
      <w:start w:val="1"/>
      <w:numFmt w:val="bullet"/>
      <w:lvlText w:val="o"/>
      <w:lvlJc w:val="left"/>
      <w:pPr>
        <w:ind w:left="6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64046C">
      <w:start w:val="1"/>
      <w:numFmt w:val="bullet"/>
      <w:lvlText w:val="▪"/>
      <w:lvlJc w:val="left"/>
      <w:pPr>
        <w:ind w:left="6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CF55FC"/>
    <w:multiLevelType w:val="hybridMultilevel"/>
    <w:tmpl w:val="B404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E0017"/>
    <w:multiLevelType w:val="hybridMultilevel"/>
    <w:tmpl w:val="619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46FB5"/>
    <w:multiLevelType w:val="hybridMultilevel"/>
    <w:tmpl w:val="A734E520"/>
    <w:lvl w:ilvl="0" w:tplc="AEDE066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41F74">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AC882">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ACC6AE">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4463A8">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4EFD6">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4C8C8">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C9DE6">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8C244">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A66499"/>
    <w:multiLevelType w:val="hybridMultilevel"/>
    <w:tmpl w:val="1458B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344CC0"/>
    <w:multiLevelType w:val="hybridMultilevel"/>
    <w:tmpl w:val="3E8835FA"/>
    <w:lvl w:ilvl="0" w:tplc="1C647B3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601AC">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282DEE">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4A47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28EFC">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9A02B4">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A994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44580">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6C888">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F6896"/>
    <w:multiLevelType w:val="hybridMultilevel"/>
    <w:tmpl w:val="9E7EF40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2" w15:restartNumberingAfterBreak="0">
    <w:nsid w:val="55F97B7A"/>
    <w:multiLevelType w:val="hybridMultilevel"/>
    <w:tmpl w:val="ABFECB38"/>
    <w:lvl w:ilvl="0" w:tplc="B0FC4ECE">
      <w:start w:val="1"/>
      <w:numFmt w:val="decimal"/>
      <w:lvlText w:val="%1."/>
      <w:lvlJc w:val="left"/>
      <w:pPr>
        <w:ind w:left="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A4D85C">
      <w:start w:val="1"/>
      <w:numFmt w:val="lowerLetter"/>
      <w:lvlText w:val="%2"/>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23746">
      <w:start w:val="1"/>
      <w:numFmt w:val="lowerRoman"/>
      <w:lvlText w:val="%3"/>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C24674">
      <w:start w:val="1"/>
      <w:numFmt w:val="decimal"/>
      <w:lvlText w:val="%4"/>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5C0CD8">
      <w:start w:val="1"/>
      <w:numFmt w:val="lowerLetter"/>
      <w:lvlText w:val="%5"/>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68A4CC">
      <w:start w:val="1"/>
      <w:numFmt w:val="lowerRoman"/>
      <w:lvlText w:val="%6"/>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202E5A">
      <w:start w:val="1"/>
      <w:numFmt w:val="decimal"/>
      <w:lvlText w:val="%7"/>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632B6">
      <w:start w:val="1"/>
      <w:numFmt w:val="lowerLetter"/>
      <w:lvlText w:val="%8"/>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AAA68">
      <w:start w:val="1"/>
      <w:numFmt w:val="lowerRoman"/>
      <w:lvlText w:val="%9"/>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9745B0"/>
    <w:multiLevelType w:val="hybridMultilevel"/>
    <w:tmpl w:val="538C74A8"/>
    <w:lvl w:ilvl="0" w:tplc="B74ED08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6F2A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F05634">
      <w:start w:val="1"/>
      <w:numFmt w:val="bullet"/>
      <w:lvlText w:val="▪"/>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D23C9A">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69ADC">
      <w:start w:val="1"/>
      <w:numFmt w:val="bullet"/>
      <w:lvlText w:val="o"/>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066D04">
      <w:start w:val="1"/>
      <w:numFmt w:val="bullet"/>
      <w:lvlText w:val="▪"/>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A0E864">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CEE92E">
      <w:start w:val="1"/>
      <w:numFmt w:val="bullet"/>
      <w:lvlText w:val="o"/>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F6C60E">
      <w:start w:val="1"/>
      <w:numFmt w:val="bullet"/>
      <w:lvlText w:val="▪"/>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0E08DA"/>
    <w:multiLevelType w:val="hybridMultilevel"/>
    <w:tmpl w:val="63F644B6"/>
    <w:lvl w:ilvl="0" w:tplc="6040E5E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A83E64">
      <w:start w:val="1"/>
      <w:numFmt w:val="bullet"/>
      <w:lvlText w:val="o"/>
      <w:lvlJc w:val="left"/>
      <w:pPr>
        <w:ind w:left="1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BA0666">
      <w:start w:val="1"/>
      <w:numFmt w:val="bullet"/>
      <w:lvlText w:val="▪"/>
      <w:lvlJc w:val="left"/>
      <w:pPr>
        <w:ind w:left="2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C49D5A">
      <w:start w:val="1"/>
      <w:numFmt w:val="bullet"/>
      <w:lvlText w:val="•"/>
      <w:lvlJc w:val="left"/>
      <w:pPr>
        <w:ind w:left="29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7E8A50">
      <w:start w:val="1"/>
      <w:numFmt w:val="bullet"/>
      <w:lvlText w:val="o"/>
      <w:lvlJc w:val="left"/>
      <w:pPr>
        <w:ind w:left="36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46898C">
      <w:start w:val="1"/>
      <w:numFmt w:val="bullet"/>
      <w:lvlText w:val="▪"/>
      <w:lvlJc w:val="left"/>
      <w:pPr>
        <w:ind w:left="43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B87F2A">
      <w:start w:val="1"/>
      <w:numFmt w:val="bullet"/>
      <w:lvlText w:val="•"/>
      <w:lvlJc w:val="left"/>
      <w:pPr>
        <w:ind w:left="5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8E175E">
      <w:start w:val="1"/>
      <w:numFmt w:val="bullet"/>
      <w:lvlText w:val="o"/>
      <w:lvlJc w:val="left"/>
      <w:pPr>
        <w:ind w:left="5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BED3B2">
      <w:start w:val="1"/>
      <w:numFmt w:val="bullet"/>
      <w:lvlText w:val="▪"/>
      <w:lvlJc w:val="left"/>
      <w:pPr>
        <w:ind w:left="6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E02900"/>
    <w:multiLevelType w:val="hybridMultilevel"/>
    <w:tmpl w:val="3290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494247"/>
    <w:multiLevelType w:val="hybridMultilevel"/>
    <w:tmpl w:val="E0B2CC06"/>
    <w:lvl w:ilvl="0" w:tplc="7A14C0A2">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8DAF6">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C7E64">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A7410">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0F6DC">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D64132">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304A9C">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AC7AC">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4A2C94">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7A1B69"/>
    <w:multiLevelType w:val="hybridMultilevel"/>
    <w:tmpl w:val="6DEA4468"/>
    <w:lvl w:ilvl="0" w:tplc="D5162F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472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70D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E2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4C6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123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AC4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E1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50B3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624552"/>
    <w:multiLevelType w:val="hybridMultilevel"/>
    <w:tmpl w:val="54EA23FE"/>
    <w:lvl w:ilvl="0" w:tplc="0D3652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825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8E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0A6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CC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18EF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E7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08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3C94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1"/>
  </w:num>
  <w:num w:numId="4">
    <w:abstractNumId w:val="4"/>
  </w:num>
  <w:num w:numId="5">
    <w:abstractNumId w:val="5"/>
  </w:num>
  <w:num w:numId="6">
    <w:abstractNumId w:val="17"/>
  </w:num>
  <w:num w:numId="7">
    <w:abstractNumId w:val="3"/>
  </w:num>
  <w:num w:numId="8">
    <w:abstractNumId w:val="18"/>
  </w:num>
  <w:num w:numId="9">
    <w:abstractNumId w:val="12"/>
  </w:num>
  <w:num w:numId="10">
    <w:abstractNumId w:val="16"/>
  </w:num>
  <w:num w:numId="11">
    <w:abstractNumId w:val="10"/>
  </w:num>
  <w:num w:numId="12">
    <w:abstractNumId w:val="13"/>
  </w:num>
  <w:num w:numId="13">
    <w:abstractNumId w:val="8"/>
  </w:num>
  <w:num w:numId="14">
    <w:abstractNumId w:val="9"/>
  </w:num>
  <w:num w:numId="15">
    <w:abstractNumId w:val="7"/>
  </w:num>
  <w:num w:numId="16">
    <w:abstractNumId w:val="6"/>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6"/>
    <w:rsid w:val="000473AB"/>
    <w:rsid w:val="001349F8"/>
    <w:rsid w:val="00164696"/>
    <w:rsid w:val="001B6375"/>
    <w:rsid w:val="00210CA2"/>
    <w:rsid w:val="00242B83"/>
    <w:rsid w:val="002B2116"/>
    <w:rsid w:val="002F1A26"/>
    <w:rsid w:val="002F730B"/>
    <w:rsid w:val="0030740C"/>
    <w:rsid w:val="00354BC8"/>
    <w:rsid w:val="0039218A"/>
    <w:rsid w:val="003B0EC8"/>
    <w:rsid w:val="003B28C4"/>
    <w:rsid w:val="003E65DF"/>
    <w:rsid w:val="004328B9"/>
    <w:rsid w:val="00432E82"/>
    <w:rsid w:val="004D713C"/>
    <w:rsid w:val="005A4546"/>
    <w:rsid w:val="005A5E97"/>
    <w:rsid w:val="0062560A"/>
    <w:rsid w:val="006325D6"/>
    <w:rsid w:val="006873F5"/>
    <w:rsid w:val="006923D5"/>
    <w:rsid w:val="006B5C49"/>
    <w:rsid w:val="006F3E3E"/>
    <w:rsid w:val="00752ECE"/>
    <w:rsid w:val="00765FBC"/>
    <w:rsid w:val="008048F0"/>
    <w:rsid w:val="0084370E"/>
    <w:rsid w:val="0087088A"/>
    <w:rsid w:val="009C49BC"/>
    <w:rsid w:val="00A23B39"/>
    <w:rsid w:val="00AD5FD9"/>
    <w:rsid w:val="00AE32FD"/>
    <w:rsid w:val="00AF6BC0"/>
    <w:rsid w:val="00BC4A2B"/>
    <w:rsid w:val="00BE3F68"/>
    <w:rsid w:val="00CC0775"/>
    <w:rsid w:val="00D63CB7"/>
    <w:rsid w:val="00D75D05"/>
    <w:rsid w:val="00D82F6B"/>
    <w:rsid w:val="00D97C3B"/>
    <w:rsid w:val="00DB3584"/>
    <w:rsid w:val="00E27470"/>
    <w:rsid w:val="00F96B95"/>
    <w:rsid w:val="00FE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1788C-8ACC-4D66-8093-8BBE3D59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8" w:line="265" w:lineRule="auto"/>
      <w:ind w:left="10" w:hanging="10"/>
      <w:outlineLvl w:val="0"/>
    </w:pPr>
    <w:rPr>
      <w:rFonts w:ascii="Calibri" w:eastAsia="Calibri" w:hAnsi="Calibri" w:cs="Calibri"/>
      <w:b/>
      <w:color w:val="FFFFFF"/>
      <w:sz w:val="40"/>
    </w:rPr>
  </w:style>
  <w:style w:type="paragraph" w:styleId="Heading2">
    <w:name w:val="heading 2"/>
    <w:next w:val="Normal"/>
    <w:link w:val="Heading2Char"/>
    <w:uiPriority w:val="9"/>
    <w:unhideWhenUsed/>
    <w:qFormat/>
    <w:pPr>
      <w:keepNext/>
      <w:keepLines/>
      <w:spacing w:after="0" w:line="250" w:lineRule="auto"/>
      <w:ind w:left="6440" w:right="4851" w:hanging="1288"/>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185"/>
      <w:ind w:left="10" w:right="386"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FFFFFF"/>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10C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CA2"/>
    <w:pPr>
      <w:spacing w:after="200" w:line="27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8AA7-0D03-4978-A6AE-60D20AF2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cp:lastModifiedBy>Nuala McElroy</cp:lastModifiedBy>
  <cp:revision>10</cp:revision>
  <dcterms:created xsi:type="dcterms:W3CDTF">2020-08-17T16:00:00Z</dcterms:created>
  <dcterms:modified xsi:type="dcterms:W3CDTF">2020-09-11T15:19:00Z</dcterms:modified>
</cp:coreProperties>
</file>