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2551" w14:textId="77777777" w:rsidR="00EE22EA" w:rsidRDefault="009C1B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B17E87" wp14:editId="224FD12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55BEB6" w14:textId="77777777" w:rsidR="00EE22EA" w:rsidRDefault="00EE22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656281" w14:textId="77777777" w:rsidR="00EE22EA" w:rsidRDefault="00EE22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680ACAD" w14:textId="77777777" w:rsidR="00EE22EA" w:rsidRDefault="009C1B61">
      <w:pPr>
        <w:rPr>
          <w:b/>
          <w:sz w:val="32"/>
          <w:szCs w:val="32"/>
        </w:rPr>
      </w:pPr>
      <w:bookmarkStart w:id="0" w:name="_heading=h.p55b8zb4o3v5" w:colFirst="0" w:colLast="0"/>
      <w:bookmarkEnd w:id="0"/>
      <w:r>
        <w:rPr>
          <w:b/>
          <w:sz w:val="32"/>
          <w:szCs w:val="32"/>
        </w:rPr>
        <w:t xml:space="preserve">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B173295" wp14:editId="73FC7C88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</wp:posOffset>
                </wp:positionV>
                <wp:extent cx="9156700" cy="142557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073563"/>
                          <a:ext cx="9144000" cy="141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A2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39F041" w14:textId="77777777" w:rsidR="00EE22EA" w:rsidRDefault="009C1B6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72"/>
                              </w:rPr>
                              <w:t>Improvement Plan 2022/2023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</wp:posOffset>
                </wp:positionV>
                <wp:extent cx="9156700" cy="1425575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700" cy="142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6D636E" w14:textId="77777777" w:rsidR="00EE22EA" w:rsidRDefault="00EE22EA">
      <w:pPr>
        <w:jc w:val="center"/>
        <w:rPr>
          <w:b/>
          <w:sz w:val="32"/>
          <w:szCs w:val="32"/>
        </w:rPr>
      </w:pPr>
    </w:p>
    <w:p w14:paraId="1C8C5319" w14:textId="77777777" w:rsidR="00EE22EA" w:rsidRDefault="00EE22EA">
      <w:pPr>
        <w:jc w:val="center"/>
        <w:rPr>
          <w:b/>
          <w:sz w:val="32"/>
          <w:szCs w:val="32"/>
        </w:rPr>
      </w:pPr>
    </w:p>
    <w:p w14:paraId="4E5C9B48" w14:textId="77777777" w:rsidR="00EE22EA" w:rsidRDefault="00EE22EA">
      <w:pPr>
        <w:jc w:val="center"/>
        <w:rPr>
          <w:b/>
          <w:sz w:val="32"/>
          <w:szCs w:val="32"/>
        </w:rPr>
      </w:pPr>
    </w:p>
    <w:p w14:paraId="51BDF1A5" w14:textId="77777777" w:rsidR="00EE22EA" w:rsidRDefault="00EE22EA">
      <w:pPr>
        <w:jc w:val="center"/>
        <w:rPr>
          <w:b/>
          <w:sz w:val="32"/>
          <w:szCs w:val="32"/>
        </w:rPr>
      </w:pPr>
    </w:p>
    <w:p w14:paraId="7EEC34A2" w14:textId="77777777" w:rsidR="00EE22EA" w:rsidRDefault="00EE22EA">
      <w:pPr>
        <w:jc w:val="center"/>
        <w:rPr>
          <w:b/>
          <w:sz w:val="32"/>
          <w:szCs w:val="32"/>
        </w:rPr>
      </w:pPr>
    </w:p>
    <w:p w14:paraId="46AC280F" w14:textId="77777777" w:rsidR="00EE22EA" w:rsidRDefault="00EE22EA">
      <w:pPr>
        <w:jc w:val="center"/>
        <w:rPr>
          <w:b/>
          <w:sz w:val="32"/>
          <w:szCs w:val="32"/>
        </w:rPr>
      </w:pPr>
    </w:p>
    <w:p w14:paraId="55898F01" w14:textId="77777777" w:rsidR="00EE22EA" w:rsidRDefault="00EE22EA">
      <w:pPr>
        <w:jc w:val="center"/>
        <w:rPr>
          <w:b/>
          <w:sz w:val="32"/>
          <w:szCs w:val="32"/>
        </w:rPr>
      </w:pPr>
    </w:p>
    <w:p w14:paraId="1940051D" w14:textId="77777777" w:rsidR="00EE22EA" w:rsidRDefault="00EE22EA">
      <w:pPr>
        <w:jc w:val="center"/>
        <w:rPr>
          <w:b/>
          <w:sz w:val="32"/>
          <w:szCs w:val="32"/>
        </w:rPr>
      </w:pPr>
    </w:p>
    <w:p w14:paraId="4810E4A7" w14:textId="77777777" w:rsidR="00EE22EA" w:rsidRDefault="00EE22EA">
      <w:pPr>
        <w:jc w:val="center"/>
        <w:rPr>
          <w:b/>
          <w:sz w:val="32"/>
          <w:szCs w:val="32"/>
        </w:rPr>
      </w:pPr>
    </w:p>
    <w:p w14:paraId="4B20C092" w14:textId="77777777" w:rsidR="00EE22EA" w:rsidRDefault="009C1B61">
      <w:pPr>
        <w:jc w:val="center"/>
        <w:rPr>
          <w:rFonts w:ascii="Tahoma" w:eastAsia="Tahoma" w:hAnsi="Tahoma" w:cs="Tahoma"/>
          <w:b/>
          <w:sz w:val="56"/>
          <w:szCs w:val="56"/>
        </w:rPr>
      </w:pPr>
      <w:r>
        <w:rPr>
          <w:rFonts w:ascii="Tahoma" w:eastAsia="Tahoma" w:hAnsi="Tahoma" w:cs="Tahoma"/>
          <w:b/>
          <w:sz w:val="56"/>
          <w:szCs w:val="56"/>
        </w:rPr>
        <w:t xml:space="preserve"> </w:t>
      </w:r>
      <w:proofErr w:type="spellStart"/>
      <w:r>
        <w:rPr>
          <w:rFonts w:ascii="Tahoma" w:eastAsia="Tahoma" w:hAnsi="Tahoma" w:cs="Tahoma"/>
          <w:b/>
          <w:sz w:val="56"/>
          <w:szCs w:val="56"/>
        </w:rPr>
        <w:t>Muckhart</w:t>
      </w:r>
      <w:proofErr w:type="spellEnd"/>
      <w:r>
        <w:rPr>
          <w:rFonts w:ascii="Tahoma" w:eastAsia="Tahoma" w:hAnsi="Tahoma" w:cs="Tahoma"/>
          <w:b/>
          <w:sz w:val="56"/>
          <w:szCs w:val="56"/>
        </w:rPr>
        <w:t xml:space="preserve"> Primary School </w:t>
      </w:r>
    </w:p>
    <w:p w14:paraId="42887C14" w14:textId="77777777" w:rsidR="00EE22EA" w:rsidRDefault="00EE22EA">
      <w:pPr>
        <w:jc w:val="center"/>
        <w:rPr>
          <w:rFonts w:ascii="Tahoma" w:eastAsia="Tahoma" w:hAnsi="Tahoma" w:cs="Tahoma"/>
          <w:b/>
          <w:sz w:val="56"/>
          <w:szCs w:val="56"/>
        </w:rPr>
      </w:pPr>
    </w:p>
    <w:p w14:paraId="090CD958" w14:textId="77777777" w:rsidR="00EE22EA" w:rsidRDefault="009C1B61">
      <w:pPr>
        <w:jc w:val="center"/>
        <w:rPr>
          <w:rFonts w:ascii="Tahoma" w:eastAsia="Tahoma" w:hAnsi="Tahoma" w:cs="Tahoma"/>
          <w:b/>
          <w:sz w:val="56"/>
          <w:szCs w:val="56"/>
        </w:rPr>
      </w:pPr>
      <w:r>
        <w:rPr>
          <w:noProof/>
        </w:rPr>
        <w:drawing>
          <wp:inline distT="0" distB="0" distL="0" distR="0" wp14:anchorId="384257BB" wp14:editId="642C712E">
            <wp:extent cx="1409700" cy="990600"/>
            <wp:effectExtent l="0" t="0" r="0" b="0"/>
            <wp:docPr id="2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FAC2C9" w14:textId="77777777" w:rsidR="00EE22EA" w:rsidRDefault="00EE22EA">
      <w:pPr>
        <w:jc w:val="center"/>
        <w:rPr>
          <w:rFonts w:ascii="Tahoma" w:eastAsia="Tahoma" w:hAnsi="Tahoma" w:cs="Tahoma"/>
          <w:b/>
          <w:sz w:val="56"/>
          <w:szCs w:val="56"/>
        </w:rPr>
      </w:pPr>
    </w:p>
    <w:p w14:paraId="4B0F6D3D" w14:textId="77777777" w:rsidR="00EE22EA" w:rsidRDefault="009C1B61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“Home of Natural Learning”</w:t>
      </w:r>
    </w:p>
    <w:p w14:paraId="29DE9D4B" w14:textId="77777777" w:rsidR="00EE22EA" w:rsidRDefault="00EE22E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5C4521CF" w14:textId="77777777" w:rsidR="00EE22EA" w:rsidRDefault="009C1B61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#</w:t>
      </w:r>
      <w:proofErr w:type="gramStart"/>
      <w:r>
        <w:rPr>
          <w:rFonts w:ascii="Tahoma" w:eastAsia="Tahoma" w:hAnsi="Tahoma" w:cs="Tahoma"/>
          <w:b/>
          <w:sz w:val="32"/>
          <w:szCs w:val="32"/>
        </w:rPr>
        <w:t>smallbutmighty</w:t>
      </w:r>
      <w:proofErr w:type="gramEnd"/>
    </w:p>
    <w:p w14:paraId="632EDAB0" w14:textId="77777777" w:rsidR="00EE22EA" w:rsidRDefault="00EE22EA">
      <w:pPr>
        <w:rPr>
          <w:rFonts w:ascii="Tahoma" w:eastAsia="Tahoma" w:hAnsi="Tahoma" w:cs="Tahoma"/>
          <w:b/>
          <w:sz w:val="40"/>
          <w:szCs w:val="40"/>
        </w:rPr>
      </w:pPr>
    </w:p>
    <w:p w14:paraId="17887FA3" w14:textId="77777777" w:rsidR="00EE22EA" w:rsidRDefault="00EE22EA">
      <w:pPr>
        <w:jc w:val="center"/>
        <w:rPr>
          <w:b/>
          <w:sz w:val="32"/>
          <w:szCs w:val="32"/>
        </w:rPr>
      </w:pPr>
    </w:p>
    <w:bookmarkStart w:id="1" w:name="_heading=h.v72hhslqrawf" w:colFirst="0" w:colLast="0"/>
    <w:bookmarkEnd w:id="1"/>
    <w:p w14:paraId="6A9540B1" w14:textId="77777777" w:rsidR="00EE22EA" w:rsidRDefault="009C1B61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7FEE028" wp14:editId="27EA2E5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72150" cy="75247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688" y="3408525"/>
                          <a:ext cx="5762625" cy="742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00A2F"/>
                            </a:gs>
                            <a:gs pos="50000">
                              <a:srgbClr val="800A2F">
                                <a:alpha val="49019"/>
                              </a:srgbClr>
                            </a:gs>
                            <a:gs pos="100000">
                              <a:srgbClr val="800A2F">
                                <a:alpha val="0"/>
                              </a:srgb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00822BD2" w14:textId="77777777" w:rsidR="00EE22EA" w:rsidRDefault="009C1B61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52"/>
                              </w:rPr>
                              <w:t>Overview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72150" cy="752475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DFB424" w14:textId="77777777" w:rsidR="00EE22EA" w:rsidRDefault="00EE22EA">
      <w:pPr>
        <w:rPr>
          <w:b/>
          <w:sz w:val="28"/>
          <w:szCs w:val="28"/>
        </w:rPr>
      </w:pPr>
    </w:p>
    <w:p w14:paraId="730ED438" w14:textId="77777777" w:rsidR="00EE22EA" w:rsidRDefault="00EE22EA">
      <w:pPr>
        <w:rPr>
          <w:b/>
          <w:sz w:val="28"/>
          <w:szCs w:val="28"/>
        </w:rPr>
      </w:pPr>
    </w:p>
    <w:p w14:paraId="1AF04E06" w14:textId="77777777" w:rsidR="00EE22EA" w:rsidRDefault="00EE22EA">
      <w:pPr>
        <w:rPr>
          <w:b/>
          <w:sz w:val="28"/>
          <w:szCs w:val="28"/>
        </w:rPr>
      </w:pPr>
    </w:p>
    <w:p w14:paraId="0FEE0264" w14:textId="77777777" w:rsidR="00EE22EA" w:rsidRDefault="00EE22EA">
      <w:pPr>
        <w:rPr>
          <w:b/>
          <w:sz w:val="28"/>
          <w:szCs w:val="28"/>
        </w:rPr>
      </w:pPr>
    </w:p>
    <w:tbl>
      <w:tblPr>
        <w:tblStyle w:val="af"/>
        <w:tblW w:w="871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5"/>
        <w:gridCol w:w="4207"/>
      </w:tblGrid>
      <w:tr w:rsidR="00EE22EA" w14:paraId="290C7C93" w14:textId="77777777">
        <w:tc>
          <w:tcPr>
            <w:tcW w:w="4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715F" w14:textId="77777777" w:rsidR="00EE22EA" w:rsidRDefault="009C1B61">
            <w:pPr>
              <w:rPr>
                <w:rFonts w:ascii="Tahoma" w:eastAsia="Tahoma" w:hAnsi="Tahoma" w:cs="Tahoma"/>
                <w:b/>
                <w:color w:val="FFFFFF"/>
                <w:sz w:val="28"/>
                <w:szCs w:val="28"/>
              </w:rPr>
            </w:pPr>
            <w:bookmarkStart w:id="2" w:name="_heading=h.hxnfol86mh83" w:colFirst="0" w:colLast="0"/>
            <w:bookmarkEnd w:id="2"/>
            <w:r>
              <w:rPr>
                <w:rFonts w:ascii="Tahoma" w:eastAsia="Tahoma" w:hAnsi="Tahoma" w:cs="Tahoma"/>
                <w:b/>
                <w:color w:val="FFFFFF"/>
              </w:rPr>
              <w:t>Headteacher: Lesley McGlinchie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2872" w14:textId="77777777" w:rsidR="00EE22EA" w:rsidRDefault="00EE22EA">
            <w:pPr>
              <w:widowControl w:val="0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14:paraId="5F13E11A" w14:textId="77777777" w:rsidR="00EE22EA" w:rsidRDefault="00EE22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sz w:val="28"/>
          <w:szCs w:val="28"/>
        </w:rPr>
      </w:pPr>
    </w:p>
    <w:tbl>
      <w:tblPr>
        <w:tblStyle w:val="af0"/>
        <w:tblW w:w="14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0125"/>
        <w:gridCol w:w="3360"/>
      </w:tblGrid>
      <w:tr w:rsidR="00EE22EA" w14:paraId="2904A68A" w14:textId="77777777">
        <w:trPr>
          <w:trHeight w:val="1134"/>
          <w:jc w:val="center"/>
        </w:trPr>
        <w:tc>
          <w:tcPr>
            <w:tcW w:w="1140" w:type="dxa"/>
            <w:shd w:val="clear" w:color="auto" w:fill="800A2F"/>
            <w:vAlign w:val="center"/>
          </w:tcPr>
          <w:p w14:paraId="18AF8A26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bookmarkStart w:id="3" w:name="_heading=h.tz90t7cf5wt5" w:colFirst="0" w:colLast="0"/>
            <w:bookmarkEnd w:id="3"/>
            <w:r>
              <w:rPr>
                <w:rFonts w:ascii="Tahoma" w:eastAsia="Tahoma" w:hAnsi="Tahoma" w:cs="Tahoma"/>
                <w:b/>
                <w:color w:val="FFFFFF"/>
              </w:rPr>
              <w:t>Priority</w:t>
            </w:r>
          </w:p>
        </w:tc>
        <w:tc>
          <w:tcPr>
            <w:tcW w:w="10125" w:type="dxa"/>
            <w:shd w:val="clear" w:color="auto" w:fill="800A2F"/>
            <w:vAlign w:val="center"/>
          </w:tcPr>
          <w:p w14:paraId="21539645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Long Term Improvement Outcome</w:t>
            </w:r>
          </w:p>
        </w:tc>
        <w:tc>
          <w:tcPr>
            <w:tcW w:w="3360" w:type="dxa"/>
            <w:shd w:val="clear" w:color="auto" w:fill="800A2F"/>
            <w:vAlign w:val="center"/>
          </w:tcPr>
          <w:p w14:paraId="1EB88CF7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Accountable Person</w:t>
            </w:r>
          </w:p>
        </w:tc>
      </w:tr>
      <w:tr w:rsidR="00EE22EA" w14:paraId="2CCE56AD" w14:textId="77777777">
        <w:trPr>
          <w:trHeight w:val="1855"/>
          <w:jc w:val="center"/>
        </w:trPr>
        <w:tc>
          <w:tcPr>
            <w:tcW w:w="1140" w:type="dxa"/>
            <w:shd w:val="clear" w:color="auto" w:fill="FFFFFF"/>
            <w:vAlign w:val="center"/>
          </w:tcPr>
          <w:p w14:paraId="3275C890" w14:textId="77777777" w:rsidR="00EE22EA" w:rsidRDefault="009C1B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125" w:type="dxa"/>
            <w:shd w:val="clear" w:color="auto" w:fill="FFFFFF"/>
            <w:vAlign w:val="center"/>
          </w:tcPr>
          <w:p w14:paraId="6B9BFA47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By May 2023,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most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targeted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learners identified as achieving just below the expected level in literacy (mainly reading and writing) will be back “on track.”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59DD57F3" w14:textId="77777777" w:rsidR="00EE22EA" w:rsidRDefault="009C1B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Lesley McGlinchie</w:t>
            </w:r>
          </w:p>
          <w:p w14:paraId="1B83DD52" w14:textId="77777777" w:rsidR="00EE22EA" w:rsidRDefault="00EE22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22EA" w14:paraId="29195D07" w14:textId="77777777">
        <w:trPr>
          <w:trHeight w:val="1855"/>
          <w:jc w:val="center"/>
        </w:trPr>
        <w:tc>
          <w:tcPr>
            <w:tcW w:w="1140" w:type="dxa"/>
            <w:shd w:val="clear" w:color="auto" w:fill="FFFFFF"/>
            <w:vAlign w:val="center"/>
          </w:tcPr>
          <w:p w14:paraId="02DFF40F" w14:textId="77777777" w:rsidR="00EE22EA" w:rsidRDefault="009C1B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25" w:type="dxa"/>
            <w:shd w:val="clear" w:color="auto" w:fill="FFFFFF"/>
            <w:vAlign w:val="center"/>
          </w:tcPr>
          <w:p w14:paraId="64A28251" w14:textId="77777777" w:rsidR="00EE22EA" w:rsidRDefault="009C1B6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By May 2023,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targeted learners identified as achieving just below the expected level in Numeracy and Mathematics, will be back “on track.”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496E5756" w14:textId="77777777" w:rsidR="00EE22EA" w:rsidRDefault="009C1B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Lesley McGlinchie</w:t>
            </w:r>
          </w:p>
        </w:tc>
      </w:tr>
    </w:tbl>
    <w:p w14:paraId="4D12A6C4" w14:textId="77777777" w:rsidR="00EE22EA" w:rsidRDefault="00EE22EA">
      <w:pPr>
        <w:rPr>
          <w:b/>
          <w:sz w:val="28"/>
          <w:szCs w:val="28"/>
        </w:rPr>
      </w:pPr>
    </w:p>
    <w:p w14:paraId="5F948325" w14:textId="77777777" w:rsidR="00EE22EA" w:rsidRDefault="00EE22EA">
      <w:pPr>
        <w:rPr>
          <w:b/>
          <w:sz w:val="28"/>
          <w:szCs w:val="28"/>
        </w:rPr>
      </w:pPr>
    </w:p>
    <w:p w14:paraId="5F780964" w14:textId="77777777" w:rsidR="00EE22EA" w:rsidRDefault="00EE22EA">
      <w:pPr>
        <w:rPr>
          <w:b/>
          <w:sz w:val="28"/>
          <w:szCs w:val="28"/>
        </w:rPr>
      </w:pPr>
    </w:p>
    <w:p w14:paraId="1B0D3133" w14:textId="77777777" w:rsidR="00EE22EA" w:rsidRDefault="00EE22EA">
      <w:pPr>
        <w:rPr>
          <w:b/>
          <w:sz w:val="28"/>
          <w:szCs w:val="28"/>
        </w:rPr>
      </w:pPr>
    </w:p>
    <w:p w14:paraId="64252C45" w14:textId="77777777" w:rsidR="00EE22EA" w:rsidRDefault="00EE22EA">
      <w:pPr>
        <w:rPr>
          <w:b/>
          <w:sz w:val="28"/>
          <w:szCs w:val="28"/>
        </w:rPr>
      </w:pPr>
    </w:p>
    <w:p w14:paraId="01203C7F" w14:textId="77777777" w:rsidR="00EE22EA" w:rsidRDefault="00EE22EA">
      <w:pPr>
        <w:rPr>
          <w:b/>
          <w:sz w:val="28"/>
          <w:szCs w:val="28"/>
        </w:rPr>
      </w:pPr>
    </w:p>
    <w:tbl>
      <w:tblPr>
        <w:tblStyle w:val="af1"/>
        <w:tblW w:w="5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</w:tblGrid>
      <w:tr w:rsidR="00EE22EA" w14:paraId="31FB8D99" w14:textId="77777777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770E" w14:textId="77777777" w:rsidR="00EE22EA" w:rsidRDefault="009C1B61">
            <w:pPr>
              <w:widowControl w:val="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E003783" wp14:editId="495E851D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7158038" cy="752475"/>
                      <wp:effectExtent l="0" t="0" r="0" b="0"/>
                      <wp:wrapNone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45588" y="3408525"/>
                                <a:ext cx="6600825" cy="7429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800A2F"/>
                                  </a:gs>
                                  <a:gs pos="50000">
                                    <a:srgbClr val="800A2F">
                                      <a:alpha val="49019"/>
                                    </a:srgbClr>
                                  </a:gs>
                                  <a:gs pos="100000">
                                    <a:srgbClr val="800A2F">
                                      <a:alpha val="0"/>
                                    </a:srgbClr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ACBA4E" w14:textId="77777777" w:rsidR="00EE22EA" w:rsidRDefault="009C1B6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5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FFFFFF"/>
                                      <w:sz w:val="52"/>
                                    </w:rPr>
                                    <w:t>Priority 1 – Raising attainment in literacy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7158038" cy="752475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8038" cy="752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B8D204B" w14:textId="77777777" w:rsidR="00EE22EA" w:rsidRDefault="00EE22EA">
            <w:pPr>
              <w:widowControl w:val="0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101C91C6" w14:textId="77777777" w:rsidR="00EE22EA" w:rsidRDefault="00EE22EA">
            <w:pPr>
              <w:widowControl w:val="0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33111912" w14:textId="77777777" w:rsidR="00EE22EA" w:rsidRDefault="00EE22EA">
            <w:pPr>
              <w:widowControl w:val="0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14:paraId="1A73FA0E" w14:textId="77777777" w:rsidR="00EE22EA" w:rsidRDefault="00EE22EA">
      <w:pPr>
        <w:rPr>
          <w:color w:val="FF0000"/>
        </w:rPr>
      </w:pPr>
    </w:p>
    <w:tbl>
      <w:tblPr>
        <w:tblStyle w:val="af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6"/>
        <w:gridCol w:w="5186"/>
        <w:gridCol w:w="5187"/>
      </w:tblGrid>
      <w:tr w:rsidR="00EE22EA" w14:paraId="4B72FC79" w14:textId="77777777">
        <w:trPr>
          <w:trHeight w:val="836"/>
        </w:trPr>
        <w:tc>
          <w:tcPr>
            <w:tcW w:w="15559" w:type="dxa"/>
            <w:gridSpan w:val="3"/>
            <w:shd w:val="clear" w:color="auto" w:fill="800A2F"/>
            <w:vAlign w:val="center"/>
          </w:tcPr>
          <w:p w14:paraId="6E4CABE5" w14:textId="77777777" w:rsidR="00EE22EA" w:rsidRDefault="009C1B61">
            <w:pPr>
              <w:jc w:val="both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Long Term Improvement Outcome</w:t>
            </w:r>
          </w:p>
          <w:p w14:paraId="0E6B74F8" w14:textId="77777777" w:rsidR="00EE22EA" w:rsidRDefault="009C1B61">
            <w:pPr>
              <w:jc w:val="both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Tahoma" w:eastAsia="Tahoma" w:hAnsi="Tahoma" w:cs="Tahoma"/>
                <w:color w:val="FFFFFF"/>
              </w:rPr>
              <w:t>(Aspirational, Transformational; relates to improved outcomes for learners)</w:t>
            </w:r>
          </w:p>
        </w:tc>
      </w:tr>
      <w:tr w:rsidR="00EE22EA" w14:paraId="368371F1" w14:textId="77777777">
        <w:trPr>
          <w:trHeight w:val="1080"/>
        </w:trPr>
        <w:tc>
          <w:tcPr>
            <w:tcW w:w="15559" w:type="dxa"/>
            <w:gridSpan w:val="3"/>
            <w:vAlign w:val="center"/>
          </w:tcPr>
          <w:p w14:paraId="154C9882" w14:textId="77777777" w:rsidR="00EE22EA" w:rsidRDefault="009C1B61">
            <w:pPr>
              <w:rPr>
                <w:rFonts w:ascii="Calibri" w:eastAsia="Calibri" w:hAnsi="Calibri" w:cs="Calibri"/>
                <w:color w:val="20212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By May 2023, most targeted learners identified as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achieving  just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below the expected level in literacy (mainly reading and writing) will be back “on track”</w:t>
            </w:r>
          </w:p>
        </w:tc>
      </w:tr>
      <w:tr w:rsidR="00EE22EA" w14:paraId="72AEA4DE" w14:textId="77777777">
        <w:trPr>
          <w:trHeight w:val="567"/>
        </w:trPr>
        <w:tc>
          <w:tcPr>
            <w:tcW w:w="5186" w:type="dxa"/>
            <w:shd w:val="clear" w:color="auto" w:fill="800A2F"/>
            <w:vAlign w:val="center"/>
          </w:tcPr>
          <w:p w14:paraId="6BB705A9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NIF Priority</w:t>
            </w:r>
          </w:p>
        </w:tc>
        <w:tc>
          <w:tcPr>
            <w:tcW w:w="5186" w:type="dxa"/>
            <w:shd w:val="clear" w:color="auto" w:fill="800A2F"/>
            <w:vAlign w:val="center"/>
          </w:tcPr>
          <w:p w14:paraId="67611FCD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NIF Driver(s)</w:t>
            </w:r>
          </w:p>
        </w:tc>
        <w:tc>
          <w:tcPr>
            <w:tcW w:w="5187" w:type="dxa"/>
            <w:shd w:val="clear" w:color="auto" w:fill="800A2F"/>
            <w:vAlign w:val="center"/>
          </w:tcPr>
          <w:p w14:paraId="140DDB9C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HGIOS4/HIGIOELC QIs</w:t>
            </w:r>
          </w:p>
        </w:tc>
      </w:tr>
      <w:tr w:rsidR="00EE22EA" w14:paraId="430D9AAC" w14:textId="77777777">
        <w:trPr>
          <w:trHeight w:val="15"/>
        </w:trPr>
        <w:tc>
          <w:tcPr>
            <w:tcW w:w="5186" w:type="dxa"/>
          </w:tcPr>
          <w:p w14:paraId="30F7D781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Improvement in children and young people's health and wellbeing</w:t>
            </w:r>
          </w:p>
          <w:p w14:paraId="2F133745" w14:textId="77777777" w:rsidR="00EE22EA" w:rsidRDefault="00EE22EA">
            <w:pPr>
              <w:rPr>
                <w:rFonts w:ascii="Calibri" w:eastAsia="Calibri" w:hAnsi="Calibri" w:cs="Calibri"/>
              </w:rPr>
            </w:pPr>
          </w:p>
          <w:p w14:paraId="0F3C2FE1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Closing the attainment gap between the most and least disadvantaged children</w:t>
            </w:r>
          </w:p>
          <w:p w14:paraId="13058E1A" w14:textId="77777777" w:rsidR="00EE22EA" w:rsidRDefault="00EE22EA">
            <w:pPr>
              <w:rPr>
                <w:rFonts w:ascii="Calibri" w:eastAsia="Calibri" w:hAnsi="Calibri" w:cs="Calibri"/>
              </w:rPr>
            </w:pPr>
          </w:p>
          <w:p w14:paraId="57293A3C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Improvement in attainment, particularly in literacy and numeracy</w:t>
            </w:r>
          </w:p>
          <w:p w14:paraId="63ABF1E0" w14:textId="77777777" w:rsidR="00EE22EA" w:rsidRDefault="00EE22EA">
            <w:pPr>
              <w:rPr>
                <w:rFonts w:ascii="Calibri" w:eastAsia="Calibri" w:hAnsi="Calibri" w:cs="Calibri"/>
              </w:rPr>
            </w:pPr>
          </w:p>
          <w:p w14:paraId="566B15A9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Improvement in employability skills and sustained, positive school-leaver destinations for all young people</w:t>
            </w:r>
          </w:p>
          <w:p w14:paraId="652AD4D3" w14:textId="77777777" w:rsidR="00EE22EA" w:rsidRDefault="00EE22EA">
            <w:pPr>
              <w:rPr>
                <w:rFonts w:ascii="Calibri" w:eastAsia="Calibri" w:hAnsi="Calibri" w:cs="Calibri"/>
              </w:rPr>
            </w:pPr>
          </w:p>
          <w:p w14:paraId="3E0ADA27" w14:textId="77777777" w:rsidR="00EE22EA" w:rsidRDefault="00EE22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86" w:type="dxa"/>
          </w:tcPr>
          <w:p w14:paraId="415FF252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Leadership</w:t>
            </w:r>
          </w:p>
          <w:p w14:paraId="18DFF9B3" w14:textId="77777777" w:rsidR="00EE22EA" w:rsidRDefault="00EE22EA">
            <w:pPr>
              <w:jc w:val="center"/>
              <w:rPr>
                <w:rFonts w:ascii="Calibri" w:eastAsia="Calibri" w:hAnsi="Calibri" w:cs="Calibri"/>
              </w:rPr>
            </w:pPr>
          </w:p>
          <w:p w14:paraId="637B0D8F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Professionalism</w:t>
            </w:r>
          </w:p>
          <w:p w14:paraId="02C4165F" w14:textId="77777777" w:rsidR="00EE22EA" w:rsidRDefault="00EE22EA">
            <w:pPr>
              <w:jc w:val="center"/>
              <w:rPr>
                <w:rFonts w:ascii="Calibri" w:eastAsia="Calibri" w:hAnsi="Calibri" w:cs="Calibri"/>
              </w:rPr>
            </w:pPr>
          </w:p>
          <w:p w14:paraId="379AF1CF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Parental Engagement</w:t>
            </w:r>
          </w:p>
          <w:p w14:paraId="4E3B6DFD" w14:textId="77777777" w:rsidR="00EE22EA" w:rsidRDefault="00EE22EA">
            <w:pPr>
              <w:jc w:val="center"/>
              <w:rPr>
                <w:rFonts w:ascii="Calibri" w:eastAsia="Calibri" w:hAnsi="Calibri" w:cs="Calibri"/>
              </w:rPr>
            </w:pPr>
          </w:p>
          <w:p w14:paraId="58F760F2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Assessment o</w:t>
            </w:r>
            <w:r>
              <w:rPr>
                <w:rFonts w:ascii="Calibri" w:eastAsia="Calibri" w:hAnsi="Calibri" w:cs="Calibri"/>
                <w:highlight w:val="yellow"/>
              </w:rPr>
              <w:t>f Children’s Progress</w:t>
            </w:r>
          </w:p>
          <w:p w14:paraId="254EFC2E" w14:textId="77777777" w:rsidR="00EE22EA" w:rsidRDefault="00EE22EA">
            <w:pPr>
              <w:jc w:val="center"/>
              <w:rPr>
                <w:rFonts w:ascii="Calibri" w:eastAsia="Calibri" w:hAnsi="Calibri" w:cs="Calibri"/>
              </w:rPr>
            </w:pPr>
          </w:p>
          <w:p w14:paraId="622D4980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Improvement</w:t>
            </w:r>
          </w:p>
          <w:p w14:paraId="7E6996B4" w14:textId="77777777" w:rsidR="00EE22EA" w:rsidRDefault="00EE22EA">
            <w:pPr>
              <w:jc w:val="center"/>
              <w:rPr>
                <w:rFonts w:ascii="Calibri" w:eastAsia="Calibri" w:hAnsi="Calibri" w:cs="Calibri"/>
              </w:rPr>
            </w:pPr>
          </w:p>
          <w:p w14:paraId="33C7641D" w14:textId="77777777" w:rsidR="00EE22EA" w:rsidRDefault="009C1B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 Information</w:t>
            </w:r>
          </w:p>
          <w:p w14:paraId="03587598" w14:textId="77777777" w:rsidR="00EE22EA" w:rsidRDefault="00EE22E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87" w:type="dxa"/>
          </w:tcPr>
          <w:p w14:paraId="73A3FF83" w14:textId="77777777" w:rsidR="00EE22EA" w:rsidRDefault="009C1B61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 Leadership of change</w:t>
            </w:r>
          </w:p>
          <w:p w14:paraId="758E46BD" w14:textId="77777777" w:rsidR="00EE22EA" w:rsidRDefault="009C1B61">
            <w:pPr>
              <w:spacing w:before="240" w:after="24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2.3 Learning, teaching and assessment</w:t>
            </w:r>
          </w:p>
          <w:p w14:paraId="6E3CAE21" w14:textId="77777777" w:rsidR="00EE22EA" w:rsidRDefault="009C1B61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3.1 Ensuring wellbeing, equity and inclusion</w:t>
            </w:r>
          </w:p>
          <w:p w14:paraId="28F1105D" w14:textId="77777777" w:rsidR="00EE22EA" w:rsidRDefault="009C1B61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yellow"/>
              </w:rPr>
              <w:t>3.2 Raising attainment and achievement / securing children’s progress</w:t>
            </w:r>
          </w:p>
        </w:tc>
      </w:tr>
      <w:tr w:rsidR="00EE22EA" w14:paraId="4C2715F8" w14:textId="77777777">
        <w:trPr>
          <w:trHeight w:val="567"/>
        </w:trPr>
        <w:tc>
          <w:tcPr>
            <w:tcW w:w="15559" w:type="dxa"/>
            <w:gridSpan w:val="3"/>
            <w:shd w:val="clear" w:color="auto" w:fill="800A2F"/>
            <w:vAlign w:val="center"/>
          </w:tcPr>
          <w:p w14:paraId="7BF39EFC" w14:textId="77777777" w:rsidR="00EE22EA" w:rsidRDefault="009C1B6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lastRenderedPageBreak/>
              <w:t>Contextual Analysis/Rationale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EE22EA" w14:paraId="2163A848" w14:textId="77777777" w:rsidTr="009C1B61">
        <w:trPr>
          <w:trHeight w:val="7829"/>
        </w:trPr>
        <w:tc>
          <w:tcPr>
            <w:tcW w:w="15559" w:type="dxa"/>
            <w:gridSpan w:val="3"/>
          </w:tcPr>
          <w:p w14:paraId="12829EA4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Our current reading and writing attainment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shows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that reading and writing at First and Second Level is in clear need of improvement. Raising attainment i</w:t>
            </w:r>
            <w:r>
              <w:rPr>
                <w:rFonts w:ascii="Tahoma" w:eastAsia="Tahoma" w:hAnsi="Tahoma" w:cs="Tahoma"/>
                <w:sz w:val="20"/>
              </w:rPr>
              <w:t>n literacy is a NIF priority.</w:t>
            </w:r>
          </w:p>
          <w:p w14:paraId="380CC15C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5C62C0B6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Most learners identified as achieving just below the expected level in literacy will be back “on track”</w:t>
            </w:r>
          </w:p>
          <w:p w14:paraId="5387DB3C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tbl>
            <w:tblPr>
              <w:tblStyle w:val="af3"/>
              <w:tblW w:w="7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91"/>
              <w:gridCol w:w="2694"/>
              <w:gridCol w:w="2835"/>
            </w:tblGrid>
            <w:tr w:rsidR="00EE22EA" w14:paraId="4CE8B88C" w14:textId="77777777">
              <w:tc>
                <w:tcPr>
                  <w:tcW w:w="1591" w:type="dxa"/>
                </w:tcPr>
                <w:p w14:paraId="1DF273D3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Class/Stage</w:t>
                  </w:r>
                </w:p>
              </w:tc>
              <w:tc>
                <w:tcPr>
                  <w:tcW w:w="2694" w:type="dxa"/>
                </w:tcPr>
                <w:p w14:paraId="7952361F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Reading: On track to meet national expectations</w:t>
                  </w:r>
                </w:p>
              </w:tc>
              <w:tc>
                <w:tcPr>
                  <w:tcW w:w="2835" w:type="dxa"/>
                </w:tcPr>
                <w:p w14:paraId="61F3469C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Writing: On track to meet national expectations</w:t>
                  </w:r>
                </w:p>
              </w:tc>
            </w:tr>
            <w:tr w:rsidR="00EE22EA" w14:paraId="2A669FC3" w14:textId="77777777">
              <w:tc>
                <w:tcPr>
                  <w:tcW w:w="1591" w:type="dxa"/>
                </w:tcPr>
                <w:p w14:paraId="16FC9F97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P1 </w:t>
                  </w:r>
                </w:p>
              </w:tc>
              <w:tc>
                <w:tcPr>
                  <w:tcW w:w="2694" w:type="dxa"/>
                </w:tcPr>
                <w:p w14:paraId="74831754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83%</w:t>
                  </w:r>
                </w:p>
              </w:tc>
              <w:tc>
                <w:tcPr>
                  <w:tcW w:w="2835" w:type="dxa"/>
                </w:tcPr>
                <w:p w14:paraId="6422E98D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83%</w:t>
                  </w:r>
                </w:p>
              </w:tc>
            </w:tr>
            <w:tr w:rsidR="00EE22EA" w14:paraId="78000E48" w14:textId="77777777">
              <w:tc>
                <w:tcPr>
                  <w:tcW w:w="1591" w:type="dxa"/>
                </w:tcPr>
                <w:p w14:paraId="3E0BD801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P2 </w:t>
                  </w:r>
                </w:p>
              </w:tc>
              <w:tc>
                <w:tcPr>
                  <w:tcW w:w="2694" w:type="dxa"/>
                </w:tcPr>
                <w:p w14:paraId="676A61DF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75%</w:t>
                  </w:r>
                </w:p>
              </w:tc>
              <w:tc>
                <w:tcPr>
                  <w:tcW w:w="2835" w:type="dxa"/>
                </w:tcPr>
                <w:p w14:paraId="77399B19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75%</w:t>
                  </w:r>
                </w:p>
              </w:tc>
            </w:tr>
            <w:tr w:rsidR="00EE22EA" w14:paraId="55521163" w14:textId="77777777">
              <w:tc>
                <w:tcPr>
                  <w:tcW w:w="1591" w:type="dxa"/>
                </w:tcPr>
                <w:p w14:paraId="3530D844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P3 </w:t>
                  </w:r>
                </w:p>
              </w:tc>
              <w:tc>
                <w:tcPr>
                  <w:tcW w:w="2694" w:type="dxa"/>
                </w:tcPr>
                <w:p w14:paraId="2DE58923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43%</w:t>
                  </w:r>
                </w:p>
              </w:tc>
              <w:tc>
                <w:tcPr>
                  <w:tcW w:w="2835" w:type="dxa"/>
                </w:tcPr>
                <w:p w14:paraId="59CAD4C9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43%</w:t>
                  </w:r>
                </w:p>
              </w:tc>
            </w:tr>
            <w:tr w:rsidR="00EE22EA" w14:paraId="06A6C56A" w14:textId="77777777">
              <w:tc>
                <w:tcPr>
                  <w:tcW w:w="1591" w:type="dxa"/>
                </w:tcPr>
                <w:p w14:paraId="4871F229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P4 </w:t>
                  </w:r>
                </w:p>
              </w:tc>
              <w:tc>
                <w:tcPr>
                  <w:tcW w:w="2694" w:type="dxa"/>
                </w:tcPr>
                <w:p w14:paraId="5663D7A6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83%</w:t>
                  </w:r>
                </w:p>
              </w:tc>
              <w:tc>
                <w:tcPr>
                  <w:tcW w:w="2835" w:type="dxa"/>
                </w:tcPr>
                <w:p w14:paraId="4F54E374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50%</w:t>
                  </w:r>
                </w:p>
              </w:tc>
            </w:tr>
            <w:tr w:rsidR="00EE22EA" w14:paraId="63DE5F63" w14:textId="77777777">
              <w:tc>
                <w:tcPr>
                  <w:tcW w:w="1591" w:type="dxa"/>
                </w:tcPr>
                <w:p w14:paraId="46F0390B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P5 </w:t>
                  </w:r>
                </w:p>
              </w:tc>
              <w:tc>
                <w:tcPr>
                  <w:tcW w:w="2694" w:type="dxa"/>
                </w:tcPr>
                <w:p w14:paraId="08C9240E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83%</w:t>
                  </w:r>
                </w:p>
              </w:tc>
              <w:tc>
                <w:tcPr>
                  <w:tcW w:w="2835" w:type="dxa"/>
                </w:tcPr>
                <w:p w14:paraId="2778E463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67%</w:t>
                  </w:r>
                </w:p>
              </w:tc>
            </w:tr>
            <w:tr w:rsidR="00EE22EA" w14:paraId="4B6CEE8C" w14:textId="77777777">
              <w:tc>
                <w:tcPr>
                  <w:tcW w:w="1591" w:type="dxa"/>
                </w:tcPr>
                <w:p w14:paraId="64FE465C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P6 </w:t>
                  </w:r>
                </w:p>
              </w:tc>
              <w:tc>
                <w:tcPr>
                  <w:tcW w:w="2694" w:type="dxa"/>
                </w:tcPr>
                <w:p w14:paraId="09DE18C2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67%</w:t>
                  </w:r>
                </w:p>
              </w:tc>
              <w:tc>
                <w:tcPr>
                  <w:tcW w:w="2835" w:type="dxa"/>
                </w:tcPr>
                <w:p w14:paraId="28687C15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12%</w:t>
                  </w:r>
                </w:p>
              </w:tc>
            </w:tr>
            <w:tr w:rsidR="00EE22EA" w14:paraId="0073373D" w14:textId="77777777">
              <w:tc>
                <w:tcPr>
                  <w:tcW w:w="1591" w:type="dxa"/>
                </w:tcPr>
                <w:p w14:paraId="2D083E30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P7 </w:t>
                  </w:r>
                </w:p>
              </w:tc>
              <w:tc>
                <w:tcPr>
                  <w:tcW w:w="2694" w:type="dxa"/>
                </w:tcPr>
                <w:p w14:paraId="30467C4C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71%</w:t>
                  </w:r>
                </w:p>
              </w:tc>
              <w:tc>
                <w:tcPr>
                  <w:tcW w:w="2835" w:type="dxa"/>
                </w:tcPr>
                <w:p w14:paraId="1B1B46AE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43%</w:t>
                  </w:r>
                </w:p>
              </w:tc>
            </w:tr>
          </w:tbl>
          <w:p w14:paraId="5F1AD136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22D8EB59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</w:t>
            </w:r>
            <w:r>
              <w:rPr>
                <w:rFonts w:ascii="Tahoma" w:eastAsia="Tahoma" w:hAnsi="Tahoma" w:cs="Tahoma"/>
                <w:sz w:val="20"/>
              </w:rPr>
              <w:t>It is known from past experience that high quality targeted support can ensure that gaps are quickly identified and progress made effectively to closing the attainment gaps</w:t>
            </w:r>
          </w:p>
          <w:p w14:paraId="76C97565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29A98925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-It is evidenced that small group support is most effective when adults have been </w:t>
            </w:r>
            <w:r>
              <w:rPr>
                <w:rFonts w:ascii="Tahoma" w:eastAsia="Tahoma" w:hAnsi="Tahoma" w:cs="Tahoma"/>
                <w:sz w:val="20"/>
              </w:rPr>
              <w:t xml:space="preserve">trained to deliver the learning and the intervention is evidence based and evaluated regularly.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Therefore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we will be using “Write On” a small group writing intervention developed and trialled by Clacks Council Education team</w:t>
            </w:r>
          </w:p>
          <w:p w14:paraId="67FF282E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42B56173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-Planned actions are detailed </w:t>
            </w:r>
            <w:r>
              <w:rPr>
                <w:rFonts w:ascii="Tahoma" w:eastAsia="Tahoma" w:hAnsi="Tahoma" w:cs="Tahoma"/>
                <w:sz w:val="20"/>
              </w:rPr>
              <w:t xml:space="preserve">below </w:t>
            </w:r>
          </w:p>
          <w:p w14:paraId="43685277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52DA9861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(Evidence detailed is taken from educationendowmentfoundation.org.uk)</w:t>
            </w:r>
          </w:p>
          <w:p w14:paraId="5C3AC3B0" w14:textId="77777777" w:rsidR="009C1B61" w:rsidRDefault="009C1B61">
            <w:pPr>
              <w:rPr>
                <w:rFonts w:ascii="Tahoma" w:eastAsia="Tahoma" w:hAnsi="Tahoma" w:cs="Tahoma"/>
                <w:sz w:val="20"/>
              </w:rPr>
            </w:pPr>
          </w:p>
          <w:p w14:paraId="1492CD1D" w14:textId="77777777" w:rsidR="009C1B61" w:rsidRDefault="009C1B61">
            <w:pPr>
              <w:rPr>
                <w:rFonts w:ascii="Tahoma" w:eastAsia="Tahoma" w:hAnsi="Tahoma" w:cs="Tahoma"/>
                <w:sz w:val="20"/>
              </w:rPr>
            </w:pPr>
          </w:p>
          <w:p w14:paraId="7554A23B" w14:textId="77777777" w:rsidR="009C1B61" w:rsidRDefault="009C1B61">
            <w:pPr>
              <w:rPr>
                <w:rFonts w:ascii="Tahoma" w:eastAsia="Tahoma" w:hAnsi="Tahoma" w:cs="Tahoma"/>
                <w:sz w:val="20"/>
              </w:rPr>
            </w:pPr>
          </w:p>
          <w:p w14:paraId="25113D26" w14:textId="5ED39053" w:rsidR="009C1B61" w:rsidRDefault="009C1B61">
            <w:pPr>
              <w:rPr>
                <w:rFonts w:ascii="Tahoma" w:eastAsia="Tahoma" w:hAnsi="Tahoma" w:cs="Tahoma"/>
                <w:sz w:val="20"/>
              </w:rPr>
            </w:pPr>
          </w:p>
        </w:tc>
      </w:tr>
    </w:tbl>
    <w:p w14:paraId="073BA4F5" w14:textId="77777777" w:rsidR="00EE22EA" w:rsidRDefault="00EE22EA"/>
    <w:tbl>
      <w:tblPr>
        <w:tblStyle w:val="af4"/>
        <w:tblW w:w="156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980"/>
        <w:gridCol w:w="3255"/>
        <w:gridCol w:w="2130"/>
        <w:gridCol w:w="1277"/>
        <w:gridCol w:w="4513"/>
      </w:tblGrid>
      <w:tr w:rsidR="00EE22EA" w14:paraId="11AE2F19" w14:textId="77777777">
        <w:tc>
          <w:tcPr>
            <w:tcW w:w="2520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3F378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Improvement Outcomes</w:t>
            </w:r>
          </w:p>
          <w:p w14:paraId="620FF95D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(Short, Medium and Long term)</w:t>
            </w:r>
          </w:p>
        </w:tc>
        <w:tc>
          <w:tcPr>
            <w:tcW w:w="1980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E5C86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Measures</w:t>
            </w:r>
          </w:p>
        </w:tc>
        <w:tc>
          <w:tcPr>
            <w:tcW w:w="3255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03E33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Actions</w:t>
            </w:r>
          </w:p>
        </w:tc>
        <w:tc>
          <w:tcPr>
            <w:tcW w:w="2130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EE2DF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Who?</w:t>
            </w:r>
          </w:p>
        </w:tc>
        <w:tc>
          <w:tcPr>
            <w:tcW w:w="1277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275A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By when</w:t>
            </w:r>
          </w:p>
        </w:tc>
        <w:tc>
          <w:tcPr>
            <w:tcW w:w="4513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7928F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Milestone Updates/Comments</w:t>
            </w:r>
          </w:p>
        </w:tc>
      </w:tr>
      <w:tr w:rsidR="00EE22EA" w14:paraId="6F680200" w14:textId="77777777">
        <w:trPr>
          <w:trHeight w:val="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FEE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Short Term</w:t>
            </w:r>
            <w:r>
              <w:rPr>
                <w:rFonts w:ascii="Calibri" w:eastAsia="Calibri" w:hAnsi="Calibri" w:cs="Calibri"/>
                <w:sz w:val="20"/>
              </w:rPr>
              <w:t xml:space="preserve">: </w:t>
            </w:r>
          </w:p>
          <w:p w14:paraId="70716319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48F396AA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By December 2022, all writing lessons will be well-planned, motivating and linked to learners’ experiences</w:t>
            </w:r>
          </w:p>
          <w:p w14:paraId="43E7D6D8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029E334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All staff will have increased knowledge of P1 learners baseline vocabulary. - linked to BPVS</w:t>
            </w:r>
          </w:p>
          <w:p w14:paraId="51FE0759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highlight w:val="white"/>
              </w:rPr>
            </w:pPr>
          </w:p>
          <w:p w14:paraId="196CC9C9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All staff will have an increased understanding of the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strengths and development needs, in reading, of targeted groups of learners. - linked to PM Benchmarking</w:t>
            </w:r>
          </w:p>
          <w:p w14:paraId="7D85DF6F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13D9A71A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  <w:p w14:paraId="1FEC5B0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496BDE93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4A46837F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0E2F6DAA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4C8ED405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A5AD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-Equitable Literacy Fundamentals audit</w:t>
            </w:r>
          </w:p>
          <w:p w14:paraId="2FA899DE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7223A014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-Survey children’s engagement in reading and writing in August, January and May</w:t>
            </w:r>
          </w:p>
          <w:p w14:paraId="5BC11593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1965A16A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-”Write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On” tracking data</w:t>
            </w:r>
          </w:p>
          <w:p w14:paraId="6AEE2065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4C5DA81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-PM Benchmark to assess progress in reading</w:t>
            </w:r>
          </w:p>
          <w:p w14:paraId="40058B3D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2FBB6EB0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-BPVS to assess baseline vocab of new P1s</w:t>
            </w:r>
          </w:p>
          <w:p w14:paraId="4492336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7C9B0C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-Attainment and moderation dialogue</w:t>
            </w:r>
          </w:p>
          <w:p w14:paraId="4F8ED5DF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5AFAC38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2F6EC2E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DFBF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-August In Service: c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reate collegiately annual overview of how we will implement key actions</w:t>
            </w:r>
          </w:p>
          <w:p w14:paraId="1F326A18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C1CEE09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 xml:space="preserve"> Link SIP Key Actions to PEF actions</w:t>
            </w:r>
          </w:p>
          <w:p w14:paraId="2CE4CEE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0E127BD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-Build in time to collegiate sessions for professional reading to improve practice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ie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CLPE resources</w:t>
            </w:r>
          </w:p>
          <w:p w14:paraId="38BE58A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95AB93B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-Ensure opportunities to peer observe are maintained in collegiate Quality Improvement calendar</w:t>
            </w:r>
          </w:p>
          <w:p w14:paraId="2880F4BC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-Consider how “team teaching” of P4-7 until October can be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st support and speed up attainment </w:t>
            </w:r>
          </w:p>
          <w:p w14:paraId="7639A423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5ADCBC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-Ensure all CTs/LAs clear on the transition data received</w:t>
            </w:r>
          </w:p>
          <w:p w14:paraId="64D2E24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93E95CF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-Collegiately create 3 Domain model for writing based on Sue Ellis “Equitable Literacy” CLPL</w:t>
            </w:r>
          </w:p>
          <w:p w14:paraId="4105D089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71DE34D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-Ensure moderation cycle for writing agreed into collegiate calend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ar</w:t>
            </w:r>
          </w:p>
          <w:p w14:paraId="70A5B80B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0926B3E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-Develop opportunities for children to write for enjoyment</w:t>
            </w:r>
          </w:p>
          <w:p w14:paraId="2C28FD12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B81635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-Embed training of “Write On” for LAs</w:t>
            </w:r>
          </w:p>
          <w:p w14:paraId="6DCC1B13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A37A36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-Use “Write On” for CLPL for CTs at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August In-Service</w:t>
            </w:r>
          </w:p>
          <w:p w14:paraId="5383CDA1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27469F7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-Invite authors and </w:t>
            </w:r>
            <w:r>
              <w:rPr>
                <w:rFonts w:ascii="Calibri" w:eastAsia="Calibri" w:hAnsi="Calibri" w:cs="Calibri"/>
                <w:sz w:val="20"/>
              </w:rPr>
              <w:t>storytellers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to school to inspire and motivate children to read and write</w:t>
            </w:r>
          </w:p>
          <w:p w14:paraId="4711DF5A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3B26980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-Begin working with The Japanese Garden and Illuminate UK re storytelling </w:t>
            </w:r>
          </w:p>
          <w:p w14:paraId="3E8609E6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7369173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-Ensure CTs/HT/LAs sign up to CLPL offered on CPD Manager</w:t>
            </w:r>
          </w:p>
          <w:p w14:paraId="4376BAE6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CECE664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-Renew “Hot Chocolate” reading to promote engagement and enjoyment</w:t>
            </w:r>
          </w:p>
          <w:p w14:paraId="674F663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C1033CC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-Continue to celebrate events such as Book Week Scotland and Book Bug bags etc</w:t>
            </w:r>
          </w:p>
          <w:p w14:paraId="44A01CAF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D793DEA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-Visit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Alloa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Library</w:t>
            </w:r>
          </w:p>
          <w:p w14:paraId="3F4919C4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26E5349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-Continue “Paired Reading”</w:t>
            </w:r>
          </w:p>
          <w:p w14:paraId="0D7E049E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683E6DC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-Attend cluster moderation sessions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4801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-HT and teaching team</w:t>
            </w:r>
            <w:r>
              <w:rPr>
                <w:rFonts w:ascii="Calibri" w:eastAsia="Calibri" w:hAnsi="Calibri" w:cs="Calibri"/>
                <w:sz w:val="20"/>
              </w:rPr>
              <w:t xml:space="preserve"> (including LAs)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5683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-By October 2022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94B6" w14:textId="77777777" w:rsidR="00EE22EA" w:rsidRDefault="00EE2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EE22EA" w14:paraId="66CCF710" w14:textId="77777777">
        <w:trPr>
          <w:trHeight w:val="1628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ABD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Medium Term</w:t>
            </w:r>
          </w:p>
          <w:p w14:paraId="1AC94778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6C79891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-By March 2023, attainment in writing for most targeted learners will begin to improve – learners’ confidence and motivation will increase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C194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-TPJ prediction data</w:t>
            </w:r>
          </w:p>
          <w:p w14:paraId="5CF30881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729A307A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-mid-session Fundamental audit re-visit</w:t>
            </w:r>
          </w:p>
          <w:p w14:paraId="20429C94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67D8EBE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-Attainment meetings</w:t>
            </w:r>
          </w:p>
          <w:p w14:paraId="09D9D29D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04717E5F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-Class Teachers’ self-reflection of the professional learning ongoing and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reflected in PRD</w:t>
            </w:r>
          </w:p>
          <w:p w14:paraId="1109B1DF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BF963B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-“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Write On” tracking data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7988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-Review last session’s new writing planning format and alter as necessary</w:t>
            </w:r>
          </w:p>
          <w:p w14:paraId="67AD3663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7B0C67F3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-“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Write On” groups underway throughout the school </w:t>
            </w:r>
          </w:p>
          <w:p w14:paraId="25FCDC6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709F1588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2209E743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-Review sp</w:t>
            </w:r>
            <w:r>
              <w:rPr>
                <w:rFonts w:ascii="Calibri" w:eastAsia="Calibri" w:hAnsi="Calibri" w:cs="Calibri"/>
                <w:sz w:val="20"/>
              </w:rPr>
              <w:t>elling and phonics framework agreed last session</w:t>
            </w:r>
          </w:p>
          <w:p w14:paraId="70F9BBB2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7A28B0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-Link SIP Key Actions to PEF actions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A291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-HT and teaching team (including LAs)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8285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-By January 2023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0D3F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bookmarkStart w:id="4" w:name="_heading=h.30j0zll" w:colFirst="0" w:colLast="0"/>
            <w:bookmarkEnd w:id="4"/>
          </w:p>
        </w:tc>
      </w:tr>
      <w:tr w:rsidR="00EE22EA" w14:paraId="75ECB6A7" w14:textId="77777777">
        <w:trPr>
          <w:trHeight w:val="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FE19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Long Term</w:t>
            </w:r>
          </w:p>
          <w:p w14:paraId="05D6E465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</w:rPr>
            </w:pPr>
          </w:p>
          <w:p w14:paraId="2004ABF8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By May 2023, almost all targeted learners identified as achieving 'just below' the expected level of achievement in Numeracy in Mathematics will be 'back on track'.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0230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-Final TPJ data</w:t>
            </w:r>
          </w:p>
          <w:p w14:paraId="0ECED504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2FCEAB6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-SNSA data for P1, 4 and 7 and SNSA trends over time</w:t>
            </w:r>
          </w:p>
          <w:p w14:paraId="26919988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ABBC276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-“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Write On” tracking data</w:t>
            </w:r>
          </w:p>
          <w:p w14:paraId="501FEA5B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736E7574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-Final Fundamental audit</w:t>
            </w:r>
          </w:p>
          <w:p w14:paraId="6F9CDF85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-BPVS for P1</w:t>
            </w:r>
          </w:p>
          <w:p w14:paraId="7037DF3C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EC9F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-Audit of current resources</w:t>
            </w:r>
          </w:p>
          <w:p w14:paraId="6F3151EC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5220B37C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-“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Write On” groups continuing throughout the school</w:t>
            </w:r>
          </w:p>
          <w:p w14:paraId="4B92737D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4C655B46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676B769A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-Revisit Library Volunteer role to ensure it is linked to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CfE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attainment and to maximise the benefits to children</w:t>
            </w:r>
          </w:p>
          <w:p w14:paraId="20B1DA8C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6219F636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6F27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-HT and teaching team (including LAs)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F678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-By June 2023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487D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15281D4E" w14:textId="77777777" w:rsidR="00EE22EA" w:rsidRDefault="00EE22EA"/>
    <w:p w14:paraId="3EF8FDE5" w14:textId="77777777" w:rsidR="00EE22EA" w:rsidRDefault="00EE22EA"/>
    <w:p w14:paraId="71311BBF" w14:textId="77777777" w:rsidR="00EE22EA" w:rsidRDefault="00EE22EA"/>
    <w:p w14:paraId="04025B43" w14:textId="77777777" w:rsidR="00EE22EA" w:rsidRDefault="00EE22EA"/>
    <w:p w14:paraId="6973C9F7" w14:textId="77777777" w:rsidR="00EE22EA" w:rsidRDefault="00EE22EA"/>
    <w:p w14:paraId="1A180484" w14:textId="77777777" w:rsidR="00EE22EA" w:rsidRDefault="00EE22EA"/>
    <w:p w14:paraId="2671F221" w14:textId="77777777" w:rsidR="00EE22EA" w:rsidRDefault="00EE22EA"/>
    <w:p w14:paraId="7C629BF9" w14:textId="77777777" w:rsidR="00EE22EA" w:rsidRDefault="00EE22EA"/>
    <w:p w14:paraId="6E06A44D" w14:textId="77777777" w:rsidR="00EE22EA" w:rsidRDefault="00EE22EA"/>
    <w:p w14:paraId="0FDA2020" w14:textId="77777777" w:rsidR="00EE22EA" w:rsidRDefault="00EE22EA"/>
    <w:p w14:paraId="3E0F32BB" w14:textId="77777777" w:rsidR="00EE22EA" w:rsidRDefault="00EE22EA"/>
    <w:p w14:paraId="681A183B" w14:textId="77777777" w:rsidR="00EE22EA" w:rsidRDefault="00EE22EA"/>
    <w:p w14:paraId="4C2089A4" w14:textId="77777777" w:rsidR="00EE22EA" w:rsidRDefault="00EE22EA"/>
    <w:p w14:paraId="174D3C3C" w14:textId="77777777" w:rsidR="00EE22EA" w:rsidRDefault="00EE22EA"/>
    <w:p w14:paraId="090C939B" w14:textId="77777777" w:rsidR="00EE22EA" w:rsidRDefault="00EE22EA"/>
    <w:p w14:paraId="42875190" w14:textId="77777777" w:rsidR="00EE22EA" w:rsidRDefault="00EE22EA"/>
    <w:p w14:paraId="1C8938EE" w14:textId="77777777" w:rsidR="00EE22EA" w:rsidRDefault="009C1B6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A259249" wp14:editId="1E69D1D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7553325" cy="75247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4100" y="3408525"/>
                          <a:ext cx="7543800" cy="742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00A2F"/>
                            </a:gs>
                            <a:gs pos="50000">
                              <a:srgbClr val="800A2F">
                                <a:alpha val="49019"/>
                              </a:srgbClr>
                            </a:gs>
                            <a:gs pos="100000">
                              <a:srgbClr val="800A2F">
                                <a:alpha val="0"/>
                              </a:srgb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40B6141A" w14:textId="77777777" w:rsidR="00EE22EA" w:rsidRDefault="009C1B61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52"/>
                              </w:rPr>
                              <w:t>Priority 2 – Raising attainment in numeracy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7553325" cy="752475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325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59D21C" w14:textId="77777777" w:rsidR="00EE22EA" w:rsidRDefault="00EE22EA"/>
    <w:p w14:paraId="2BDE593C" w14:textId="77777777" w:rsidR="00EE22EA" w:rsidRDefault="00EE22EA"/>
    <w:p w14:paraId="0C121D34" w14:textId="77777777" w:rsidR="00EE22EA" w:rsidRDefault="00EE22EA"/>
    <w:p w14:paraId="2DF71587" w14:textId="77777777" w:rsidR="00EE22EA" w:rsidRDefault="00EE22EA"/>
    <w:p w14:paraId="7B01BA60" w14:textId="77777777" w:rsidR="00EE22EA" w:rsidRDefault="00EE22EA"/>
    <w:p w14:paraId="0C57E904" w14:textId="77777777" w:rsidR="00EE22EA" w:rsidRDefault="00EE22EA"/>
    <w:tbl>
      <w:tblPr>
        <w:tblStyle w:val="af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6"/>
        <w:gridCol w:w="5186"/>
        <w:gridCol w:w="5187"/>
      </w:tblGrid>
      <w:tr w:rsidR="00EE22EA" w14:paraId="04670821" w14:textId="77777777">
        <w:trPr>
          <w:trHeight w:val="836"/>
        </w:trPr>
        <w:tc>
          <w:tcPr>
            <w:tcW w:w="15559" w:type="dxa"/>
            <w:gridSpan w:val="3"/>
            <w:shd w:val="clear" w:color="auto" w:fill="800A2F"/>
            <w:vAlign w:val="center"/>
          </w:tcPr>
          <w:p w14:paraId="239306E9" w14:textId="77777777" w:rsidR="00EE22EA" w:rsidRDefault="009C1B61">
            <w:pPr>
              <w:jc w:val="both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Long Term Improvement Outcome</w:t>
            </w:r>
          </w:p>
          <w:p w14:paraId="5A7CE4EC" w14:textId="77777777" w:rsidR="00EE22EA" w:rsidRDefault="009C1B61">
            <w:pPr>
              <w:jc w:val="both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Tahoma" w:eastAsia="Tahoma" w:hAnsi="Tahoma" w:cs="Tahoma"/>
                <w:color w:val="FFFFFF"/>
              </w:rPr>
              <w:t>(Aspirational, Transformational; relates to improved outcomes for learners)</w:t>
            </w:r>
          </w:p>
        </w:tc>
      </w:tr>
      <w:tr w:rsidR="00EE22EA" w14:paraId="0F4E2353" w14:textId="77777777">
        <w:trPr>
          <w:trHeight w:val="733"/>
        </w:trPr>
        <w:tc>
          <w:tcPr>
            <w:tcW w:w="15559" w:type="dxa"/>
            <w:gridSpan w:val="3"/>
          </w:tcPr>
          <w:p w14:paraId="7FAF9E05" w14:textId="77777777" w:rsidR="00EE22EA" w:rsidRDefault="009C1B61">
            <w:pPr>
              <w:shd w:val="clear" w:color="auto" w:fill="FFFFFF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By May 2023,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targeted learners identified as achieving just below the expected level in Numeracy and Mathematics will be back “on track”</w:t>
            </w:r>
          </w:p>
        </w:tc>
      </w:tr>
      <w:tr w:rsidR="00EE22EA" w14:paraId="603B62B3" w14:textId="77777777">
        <w:trPr>
          <w:trHeight w:val="567"/>
        </w:trPr>
        <w:tc>
          <w:tcPr>
            <w:tcW w:w="5186" w:type="dxa"/>
            <w:shd w:val="clear" w:color="auto" w:fill="800A2F"/>
            <w:vAlign w:val="center"/>
          </w:tcPr>
          <w:p w14:paraId="43ADE438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NIF Priority</w:t>
            </w:r>
          </w:p>
        </w:tc>
        <w:tc>
          <w:tcPr>
            <w:tcW w:w="5186" w:type="dxa"/>
            <w:shd w:val="clear" w:color="auto" w:fill="800A2F"/>
            <w:vAlign w:val="center"/>
          </w:tcPr>
          <w:p w14:paraId="0119139C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NIF Driver(s)</w:t>
            </w:r>
          </w:p>
        </w:tc>
        <w:tc>
          <w:tcPr>
            <w:tcW w:w="5187" w:type="dxa"/>
            <w:shd w:val="clear" w:color="auto" w:fill="800A2F"/>
            <w:vAlign w:val="center"/>
          </w:tcPr>
          <w:p w14:paraId="3A12044A" w14:textId="77777777" w:rsidR="00EE22EA" w:rsidRDefault="009C1B6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HGIOS4/HIGIOELC QIs</w:t>
            </w:r>
          </w:p>
        </w:tc>
      </w:tr>
      <w:tr w:rsidR="00EE22EA" w14:paraId="7B1EA341" w14:textId="77777777">
        <w:trPr>
          <w:trHeight w:val="3660"/>
        </w:trPr>
        <w:tc>
          <w:tcPr>
            <w:tcW w:w="5186" w:type="dxa"/>
          </w:tcPr>
          <w:p w14:paraId="61464DD5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Improvement in children and young people's health and wellbeing</w:t>
            </w:r>
          </w:p>
          <w:p w14:paraId="6124D84B" w14:textId="77777777" w:rsidR="00EE22EA" w:rsidRDefault="00EE22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8A8F02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Closing the attainment gap between the most and least disadvantaged children</w:t>
            </w:r>
          </w:p>
          <w:p w14:paraId="279D30CC" w14:textId="77777777" w:rsidR="00EE22EA" w:rsidRDefault="00EE22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65B941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Improvement in attainment, particularly in literacy and numeracy</w:t>
            </w:r>
          </w:p>
          <w:p w14:paraId="5D80E6D3" w14:textId="77777777" w:rsidR="00EE22EA" w:rsidRDefault="00EE22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24224A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Improvement in employability skills and sustained, positive school-leaver destinations for all young people</w:t>
            </w:r>
          </w:p>
        </w:tc>
        <w:tc>
          <w:tcPr>
            <w:tcW w:w="5186" w:type="dxa"/>
          </w:tcPr>
          <w:p w14:paraId="46445177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ol Leadership</w:t>
            </w:r>
          </w:p>
          <w:p w14:paraId="45F6213D" w14:textId="77777777" w:rsidR="00EE22EA" w:rsidRDefault="00EE22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66074A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Professionalism</w:t>
            </w:r>
          </w:p>
          <w:p w14:paraId="7B326B76" w14:textId="77777777" w:rsidR="00EE22EA" w:rsidRDefault="00EE22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5175F1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Parental Engagement</w:t>
            </w:r>
          </w:p>
          <w:p w14:paraId="482683EE" w14:textId="77777777" w:rsidR="00EE22EA" w:rsidRDefault="00EE22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A01216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Assessment of Children’s Progress</w:t>
            </w:r>
          </w:p>
          <w:p w14:paraId="7FE29A8C" w14:textId="77777777" w:rsidR="00EE22EA" w:rsidRDefault="00EE22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4FF4C8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School Improvement</w:t>
            </w:r>
          </w:p>
          <w:p w14:paraId="1D6E6351" w14:textId="77777777" w:rsidR="00EE22EA" w:rsidRDefault="00EE22E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59CCEF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Performance Information</w:t>
            </w:r>
          </w:p>
          <w:p w14:paraId="7168E8AC" w14:textId="77777777" w:rsidR="009C1B61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590983" w14:textId="77777777" w:rsidR="009C1B61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F513E5" w14:textId="77777777" w:rsidR="009C1B61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8C260B" w14:textId="77777777" w:rsidR="009C1B61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E4D8EB" w14:textId="10092990" w:rsidR="009C1B61" w:rsidRDefault="009C1B6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87" w:type="dxa"/>
          </w:tcPr>
          <w:p w14:paraId="1C627595" w14:textId="77777777" w:rsidR="00EE22EA" w:rsidRDefault="009C1B6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 Leadership of change</w:t>
            </w:r>
          </w:p>
          <w:p w14:paraId="0845902D" w14:textId="77777777" w:rsidR="00EE22EA" w:rsidRDefault="009C1B61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2.3 Learning, teaching and assessment</w:t>
            </w:r>
          </w:p>
          <w:p w14:paraId="6FB8C6EA" w14:textId="77777777" w:rsidR="00EE22EA" w:rsidRDefault="009C1B61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3.1 Ensuring wellbeing, equity and inclusion</w:t>
            </w:r>
          </w:p>
          <w:p w14:paraId="1EB40488" w14:textId="77777777" w:rsidR="00EE22EA" w:rsidRDefault="009C1B61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3.2 Rais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ing attainment and achievement / securing children’s progress</w:t>
            </w:r>
          </w:p>
        </w:tc>
      </w:tr>
      <w:tr w:rsidR="00EE22EA" w14:paraId="374C79FC" w14:textId="77777777">
        <w:trPr>
          <w:trHeight w:val="567"/>
        </w:trPr>
        <w:tc>
          <w:tcPr>
            <w:tcW w:w="15559" w:type="dxa"/>
            <w:gridSpan w:val="3"/>
            <w:shd w:val="clear" w:color="auto" w:fill="800A2F"/>
            <w:vAlign w:val="center"/>
          </w:tcPr>
          <w:p w14:paraId="6169EA40" w14:textId="77777777" w:rsidR="00EE22EA" w:rsidRDefault="009C1B6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lastRenderedPageBreak/>
              <w:t>Contextual Analysis/Rationale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EE22EA" w14:paraId="3B10C583" w14:textId="77777777">
        <w:tc>
          <w:tcPr>
            <w:tcW w:w="15559" w:type="dxa"/>
            <w:gridSpan w:val="3"/>
          </w:tcPr>
          <w:p w14:paraId="0BF07F22" w14:textId="77777777" w:rsidR="00EE22EA" w:rsidRDefault="009C1B6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-Attainment in numeracy shows significant areas of improvement needed especially at P3 and P6: Focused small group teaching could ensure achievement of First or Second Level for these learners. </w:t>
            </w:r>
          </w:p>
          <w:p w14:paraId="2449F2E0" w14:textId="77777777" w:rsidR="00EE22EA" w:rsidRDefault="00EE22EA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F745B4" w14:textId="77777777" w:rsidR="00EE22EA" w:rsidRDefault="009C1B6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-The impact of 2 sessions of interrupted learning due to Cov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 cannot be ignored</w:t>
            </w:r>
          </w:p>
          <w:p w14:paraId="0039EB6D" w14:textId="77777777" w:rsidR="00EE22EA" w:rsidRDefault="00EE22EA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0970B1" w14:textId="77777777" w:rsidR="00EE22EA" w:rsidRDefault="00EE22EA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f6"/>
              <w:tblW w:w="40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91"/>
              <w:gridCol w:w="2410"/>
            </w:tblGrid>
            <w:tr w:rsidR="00EE22EA" w14:paraId="45C40A75" w14:textId="77777777">
              <w:tc>
                <w:tcPr>
                  <w:tcW w:w="1591" w:type="dxa"/>
                </w:tcPr>
                <w:p w14:paraId="0A3503B5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Class/Stage</w:t>
                  </w:r>
                </w:p>
              </w:tc>
              <w:tc>
                <w:tcPr>
                  <w:tcW w:w="2410" w:type="dxa"/>
                </w:tcPr>
                <w:p w14:paraId="2EDBEA9B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Attainment on track to meet national expectations</w:t>
                  </w:r>
                </w:p>
              </w:tc>
            </w:tr>
            <w:tr w:rsidR="00EE22EA" w14:paraId="6B207AB5" w14:textId="77777777">
              <w:tc>
                <w:tcPr>
                  <w:tcW w:w="1591" w:type="dxa"/>
                </w:tcPr>
                <w:p w14:paraId="0CD215A8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P1 </w:t>
                  </w:r>
                </w:p>
              </w:tc>
              <w:tc>
                <w:tcPr>
                  <w:tcW w:w="2410" w:type="dxa"/>
                </w:tcPr>
                <w:p w14:paraId="729577C3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83%</w:t>
                  </w:r>
                </w:p>
              </w:tc>
            </w:tr>
            <w:tr w:rsidR="00EE22EA" w14:paraId="1713D9BC" w14:textId="77777777">
              <w:tc>
                <w:tcPr>
                  <w:tcW w:w="1591" w:type="dxa"/>
                </w:tcPr>
                <w:p w14:paraId="58107028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P2 </w:t>
                  </w:r>
                </w:p>
              </w:tc>
              <w:tc>
                <w:tcPr>
                  <w:tcW w:w="2410" w:type="dxa"/>
                </w:tcPr>
                <w:p w14:paraId="09AB98DC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75%</w:t>
                  </w:r>
                </w:p>
              </w:tc>
            </w:tr>
            <w:tr w:rsidR="00EE22EA" w14:paraId="5ED5F26F" w14:textId="77777777">
              <w:tc>
                <w:tcPr>
                  <w:tcW w:w="1591" w:type="dxa"/>
                </w:tcPr>
                <w:p w14:paraId="6F94C268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P3 </w:t>
                  </w:r>
                </w:p>
              </w:tc>
              <w:tc>
                <w:tcPr>
                  <w:tcW w:w="2410" w:type="dxa"/>
                </w:tcPr>
                <w:p w14:paraId="38F30A11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43%</w:t>
                  </w:r>
                </w:p>
              </w:tc>
            </w:tr>
            <w:tr w:rsidR="00EE22EA" w14:paraId="7C104947" w14:textId="77777777">
              <w:tc>
                <w:tcPr>
                  <w:tcW w:w="1591" w:type="dxa"/>
                </w:tcPr>
                <w:p w14:paraId="50C2785F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P4</w:t>
                  </w:r>
                </w:p>
              </w:tc>
              <w:tc>
                <w:tcPr>
                  <w:tcW w:w="2410" w:type="dxa"/>
                </w:tcPr>
                <w:p w14:paraId="4F90AB81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83%</w:t>
                  </w:r>
                </w:p>
              </w:tc>
            </w:tr>
            <w:tr w:rsidR="00EE22EA" w14:paraId="37FBC406" w14:textId="77777777">
              <w:tc>
                <w:tcPr>
                  <w:tcW w:w="1591" w:type="dxa"/>
                </w:tcPr>
                <w:p w14:paraId="17D82BB2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P5 </w:t>
                  </w:r>
                </w:p>
              </w:tc>
              <w:tc>
                <w:tcPr>
                  <w:tcW w:w="2410" w:type="dxa"/>
                </w:tcPr>
                <w:p w14:paraId="5B110BBA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100%</w:t>
                  </w:r>
                </w:p>
              </w:tc>
            </w:tr>
            <w:tr w:rsidR="00EE22EA" w14:paraId="7FE96D13" w14:textId="77777777">
              <w:tc>
                <w:tcPr>
                  <w:tcW w:w="1591" w:type="dxa"/>
                </w:tcPr>
                <w:p w14:paraId="509BF1C5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P6 </w:t>
                  </w:r>
                </w:p>
              </w:tc>
              <w:tc>
                <w:tcPr>
                  <w:tcW w:w="2410" w:type="dxa"/>
                </w:tcPr>
                <w:p w14:paraId="0996F95F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50%</w:t>
                  </w:r>
                </w:p>
              </w:tc>
            </w:tr>
            <w:tr w:rsidR="00EE22EA" w14:paraId="2960722F" w14:textId="77777777">
              <w:tc>
                <w:tcPr>
                  <w:tcW w:w="1591" w:type="dxa"/>
                </w:tcPr>
                <w:p w14:paraId="390A819E" w14:textId="77777777" w:rsidR="00EE22EA" w:rsidRDefault="009C1B61">
                  <w:pPr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P7 </w:t>
                  </w:r>
                </w:p>
              </w:tc>
              <w:tc>
                <w:tcPr>
                  <w:tcW w:w="2410" w:type="dxa"/>
                </w:tcPr>
                <w:p w14:paraId="631B4CDC" w14:textId="77777777" w:rsidR="00EE22EA" w:rsidRDefault="009C1B61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71%</w:t>
                  </w:r>
                </w:p>
              </w:tc>
            </w:tr>
          </w:tbl>
          <w:p w14:paraId="74093BE1" w14:textId="77777777" w:rsidR="00EE22EA" w:rsidRDefault="009C1B61">
            <w:pPr>
              <w:shd w:val="clear" w:color="auto" w:fill="FFFFFF"/>
              <w:rPr>
                <w:rFonts w:ascii="Tahoma" w:eastAsia="Tahoma" w:hAnsi="Tahoma" w:cs="Tahoma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-Most learners identified as achieving just below the expected level in Numeracy and Mathematics will be back “on track”</w:t>
            </w:r>
          </w:p>
          <w:p w14:paraId="214B1988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591F345F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-It is known from past experience that high quality targeted support can ensure that gaps are quickly identified and progress made eff</w:t>
            </w:r>
            <w:r>
              <w:rPr>
                <w:rFonts w:ascii="Tahoma" w:eastAsia="Tahoma" w:hAnsi="Tahoma" w:cs="Tahoma"/>
                <w:sz w:val="20"/>
              </w:rPr>
              <w:t>ectively to closing the attainment gaps</w:t>
            </w:r>
          </w:p>
          <w:p w14:paraId="1D2902AC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49583203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-It is evidenced that small group support is most effective when adults have been trained to deliver the learning and the intervention is evidence based and evaluated regularly.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Therefore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we will be using “Write On” a small group writing intervention devel</w:t>
            </w:r>
            <w:r>
              <w:rPr>
                <w:rFonts w:ascii="Tahoma" w:eastAsia="Tahoma" w:hAnsi="Tahoma" w:cs="Tahoma"/>
                <w:sz w:val="20"/>
              </w:rPr>
              <w:t>oped and trialled by Clacks Council Education team</w:t>
            </w:r>
          </w:p>
          <w:p w14:paraId="57837966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69D535DD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-Planned actions are detailed below </w:t>
            </w:r>
          </w:p>
          <w:p w14:paraId="33804A22" w14:textId="77777777" w:rsidR="00EE22EA" w:rsidRDefault="00EE22EA">
            <w:pPr>
              <w:rPr>
                <w:rFonts w:ascii="Tahoma" w:eastAsia="Tahoma" w:hAnsi="Tahoma" w:cs="Tahoma"/>
                <w:sz w:val="20"/>
              </w:rPr>
            </w:pPr>
          </w:p>
          <w:p w14:paraId="5BA8D4F0" w14:textId="77777777" w:rsidR="00EE22EA" w:rsidRDefault="009C1B61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(Evidence detailed is taken from educationendowmentfoundation.org.uk)</w:t>
            </w:r>
          </w:p>
          <w:p w14:paraId="7651CC1F" w14:textId="77777777" w:rsidR="00EE22EA" w:rsidRDefault="00EE22EA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D75FCFF" w14:textId="77777777" w:rsidR="00EE22EA" w:rsidRDefault="00EE22EA"/>
    <w:tbl>
      <w:tblPr>
        <w:tblStyle w:val="af7"/>
        <w:tblW w:w="156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980"/>
        <w:gridCol w:w="3255"/>
        <w:gridCol w:w="2130"/>
        <w:gridCol w:w="1277"/>
        <w:gridCol w:w="4513"/>
      </w:tblGrid>
      <w:tr w:rsidR="00EE22EA" w14:paraId="7C24C188" w14:textId="77777777">
        <w:tc>
          <w:tcPr>
            <w:tcW w:w="2520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78447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Improvement Outcomes</w:t>
            </w:r>
          </w:p>
          <w:p w14:paraId="3E1A4FC4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(Short, Medium and Long term)</w:t>
            </w:r>
          </w:p>
        </w:tc>
        <w:tc>
          <w:tcPr>
            <w:tcW w:w="1980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2DFFC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Measures</w:t>
            </w:r>
          </w:p>
        </w:tc>
        <w:tc>
          <w:tcPr>
            <w:tcW w:w="3255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77F7E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Actions</w:t>
            </w:r>
          </w:p>
        </w:tc>
        <w:tc>
          <w:tcPr>
            <w:tcW w:w="2130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2E06A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Who?</w:t>
            </w:r>
          </w:p>
        </w:tc>
        <w:tc>
          <w:tcPr>
            <w:tcW w:w="1277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7FB9B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By when</w:t>
            </w:r>
          </w:p>
        </w:tc>
        <w:tc>
          <w:tcPr>
            <w:tcW w:w="4513" w:type="dxa"/>
            <w:shd w:val="clear" w:color="auto" w:fill="800A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C2C85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Milestone Updates/Comments</w:t>
            </w:r>
          </w:p>
        </w:tc>
      </w:tr>
      <w:tr w:rsidR="00EE22EA" w14:paraId="11FDA183" w14:textId="77777777">
        <w:trPr>
          <w:trHeight w:val="1361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68BB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Short</w:t>
            </w:r>
          </w:p>
          <w:p w14:paraId="01BB9E3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</w:rPr>
            </w:pPr>
          </w:p>
          <w:p w14:paraId="15B03928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-Most targeted children will confidently use tactile resources in classrooms.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8356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-Baseline “Building Blocks” data</w:t>
            </w:r>
          </w:p>
          <w:p w14:paraId="63F42F84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29CFBA6A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-Initial Phased assessments identify clear gaps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37B8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-“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Building Blocks” groups identified and underway</w:t>
            </w:r>
          </w:p>
          <w:p w14:paraId="2B79651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6B26DAC5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-Ensure Assessment Policy is clear and adhered to</w:t>
            </w:r>
          </w:p>
          <w:p w14:paraId="4CA3AE1A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E5B031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-Audit of tactile resources across classrooms</w:t>
            </w:r>
          </w:p>
          <w:p w14:paraId="4491AB65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23692413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-Reintroduce maths boxes to reduce stigma of needing tactile resources in the upper school</w:t>
            </w:r>
          </w:p>
          <w:p w14:paraId="1399B357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0A81BA3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-Investigate Numicon training</w:t>
            </w:r>
          </w:p>
          <w:p w14:paraId="2DD0BC60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BD768CC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-Sign-up for relevant numeracy training on CPD manager</w:t>
            </w:r>
          </w:p>
          <w:p w14:paraId="51DC1D3F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045ACA24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-Build in time to collegiate sessions to ensure feedback and impact from CLPL sessions attended: “what” “so what” and “what now” approach</w:t>
            </w:r>
          </w:p>
          <w:p w14:paraId="2A0968CC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460629E8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-Improve problem solving approach and resources: linked to development needs in SNSA trend analysis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9447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-HT and teaching </w:t>
            </w:r>
            <w:r>
              <w:rPr>
                <w:rFonts w:ascii="Calibri" w:eastAsia="Calibri" w:hAnsi="Calibri" w:cs="Calibri"/>
                <w:sz w:val="20"/>
              </w:rPr>
              <w:t>team (including LAs)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505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-By October 2022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1C41" w14:textId="77777777" w:rsidR="00EE22EA" w:rsidRDefault="00EE2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EE22EA" w14:paraId="1F902CF7" w14:textId="77777777">
        <w:trPr>
          <w:trHeight w:val="1628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E566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Medium</w:t>
            </w:r>
          </w:p>
          <w:p w14:paraId="4452467B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-For most targeted children, attainment in numeracy will show clear evidence of gaps beginning to close</w:t>
            </w:r>
          </w:p>
          <w:p w14:paraId="2366C104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3807723F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-Clear progress will be evidenced through assessment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B2C8" w14:textId="77777777" w:rsidR="00EE22EA" w:rsidRDefault="009C1B6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-TPJ predictions</w:t>
            </w:r>
          </w:p>
          <w:p w14:paraId="4BF5589B" w14:textId="77777777" w:rsidR="00EE22EA" w:rsidRDefault="00EE22EA">
            <w:pPr>
              <w:rPr>
                <w:rFonts w:ascii="Calibri" w:eastAsia="Calibri" w:hAnsi="Calibri" w:cs="Calibri"/>
                <w:sz w:val="20"/>
              </w:rPr>
            </w:pPr>
          </w:p>
          <w:p w14:paraId="1E5503C2" w14:textId="77777777" w:rsidR="00EE22EA" w:rsidRDefault="009C1B6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-Attainment tracking meetings</w:t>
            </w:r>
          </w:p>
          <w:p w14:paraId="3E7DEDF6" w14:textId="77777777" w:rsidR="00EE22EA" w:rsidRDefault="00EE22EA">
            <w:pPr>
              <w:rPr>
                <w:rFonts w:ascii="Calibri" w:eastAsia="Calibri" w:hAnsi="Calibri" w:cs="Calibri"/>
                <w:sz w:val="20"/>
              </w:rPr>
            </w:pPr>
          </w:p>
          <w:p w14:paraId="001ED0F6" w14:textId="77777777" w:rsidR="00EE22EA" w:rsidRDefault="009C1B6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-Tracker</w:t>
            </w:r>
          </w:p>
          <w:p w14:paraId="394311A2" w14:textId="77777777" w:rsidR="00EE22EA" w:rsidRDefault="00EE22EA">
            <w:pPr>
              <w:rPr>
                <w:rFonts w:ascii="Calibri" w:eastAsia="Calibri" w:hAnsi="Calibri" w:cs="Calibri"/>
                <w:sz w:val="20"/>
              </w:rPr>
            </w:pPr>
          </w:p>
          <w:p w14:paraId="5D084A65" w14:textId="77777777" w:rsidR="00EE22EA" w:rsidRDefault="009C1B6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-Ongoing phased assessments</w:t>
            </w:r>
          </w:p>
          <w:p w14:paraId="221AE50D" w14:textId="77777777" w:rsidR="00EE22EA" w:rsidRDefault="00EE22EA">
            <w:pPr>
              <w:rPr>
                <w:rFonts w:ascii="Calibri" w:eastAsia="Calibri" w:hAnsi="Calibri" w:cs="Calibri"/>
                <w:sz w:val="20"/>
              </w:rPr>
            </w:pPr>
          </w:p>
          <w:p w14:paraId="7CD1EDD3" w14:textId="77777777" w:rsidR="00EE22EA" w:rsidRDefault="009C1B6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-Updated “Building Blocks” data tracked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AA25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-Develop holistic numeracy/maths assessment as learned from RIC moderation CLPL</w:t>
            </w:r>
          </w:p>
          <w:p w14:paraId="679515E5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D75E4D5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-Improve outdoor practical resources</w:t>
            </w:r>
          </w:p>
          <w:p w14:paraId="0ED895C6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5F690F7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-improve apps for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-pads especially at Early Level</w:t>
            </w:r>
          </w:p>
          <w:p w14:paraId="7F242ADE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98D905E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-develop play-based approach across the school</w:t>
            </w:r>
          </w:p>
          <w:p w14:paraId="36E83A98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61CA7E6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-attend cluster moderation CLPL event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s and reflect on impact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CB65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-HT and teaching team (including LAs)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94F2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-By January 2023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C4AE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</w:tr>
      <w:tr w:rsidR="00EE22EA" w14:paraId="73390CCE" w14:textId="77777777">
        <w:trPr>
          <w:trHeight w:val="2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CCD4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Long Term</w:t>
            </w:r>
          </w:p>
          <w:p w14:paraId="6DD3DDB2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73ECD917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-Most</w:t>
            </w:r>
            <w:r>
              <w:rPr>
                <w:rFonts w:ascii="Calibri" w:eastAsia="Calibri" w:hAnsi="Calibri" w:cs="Calibri"/>
                <w:sz w:val="20"/>
              </w:rPr>
              <w:t xml:space="preserve"> targeted learners identified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August 22 as achieving just below the expected level will be back “on track”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490E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-Final TPJ</w:t>
            </w:r>
          </w:p>
          <w:p w14:paraId="296C881C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43AE74D6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-Phased Assessments ongoing</w:t>
            </w:r>
          </w:p>
          <w:p w14:paraId="16C50758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  <w:p w14:paraId="1FB76707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-Final “Building Blocks” data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49E3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7B35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-HT and teaching team (including LAs)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6FC0" w14:textId="77777777" w:rsidR="00EE22EA" w:rsidRDefault="009C1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-By June 2023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0E3C" w14:textId="77777777" w:rsidR="00EE22EA" w:rsidRDefault="00EE2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6EAD2229" w14:textId="77777777" w:rsidR="00EE22EA" w:rsidRDefault="00EE22EA">
      <w:pPr>
        <w:ind w:firstLine="720"/>
      </w:pPr>
    </w:p>
    <w:p w14:paraId="03046B52" w14:textId="77777777" w:rsidR="00EE22EA" w:rsidRDefault="00EE22EA"/>
    <w:p w14:paraId="5B95D5F8" w14:textId="77777777" w:rsidR="00EE22EA" w:rsidRDefault="00EE22EA"/>
    <w:p w14:paraId="1E3E793E" w14:textId="77777777" w:rsidR="00EE22EA" w:rsidRDefault="00EE22EA"/>
    <w:p w14:paraId="5DBE0A73" w14:textId="77777777" w:rsidR="00EE22EA" w:rsidRDefault="00EE22EA"/>
    <w:p w14:paraId="5EA3D031" w14:textId="77777777" w:rsidR="00EE22EA" w:rsidRDefault="00EE22EA"/>
    <w:p w14:paraId="4D76CFA7" w14:textId="77777777" w:rsidR="00EE22EA" w:rsidRDefault="00EE22EA"/>
    <w:p w14:paraId="62090A10" w14:textId="77777777" w:rsidR="00EE22EA" w:rsidRDefault="00EE22EA"/>
    <w:p w14:paraId="0FD40432" w14:textId="77777777" w:rsidR="00EE22EA" w:rsidRDefault="00EE22EA"/>
    <w:p w14:paraId="53B1B9B8" w14:textId="77777777" w:rsidR="00EE22EA" w:rsidRDefault="00EE22EA"/>
    <w:p w14:paraId="642EB397" w14:textId="77777777" w:rsidR="00EE22EA" w:rsidRDefault="00EE22EA"/>
    <w:p w14:paraId="6EAC8956" w14:textId="77777777" w:rsidR="00EE22EA" w:rsidRDefault="00EE22EA"/>
    <w:p w14:paraId="6C1D8E24" w14:textId="77777777" w:rsidR="00EE22EA" w:rsidRDefault="00EE22EA"/>
    <w:p w14:paraId="44E2FC7B" w14:textId="77777777" w:rsidR="00EE22EA" w:rsidRDefault="00EE22EA"/>
    <w:p w14:paraId="52FCC8D5" w14:textId="77777777" w:rsidR="00EE22EA" w:rsidRDefault="00EE22EA"/>
    <w:sectPr w:rsidR="00EE22EA">
      <w:footerReference w:type="default" r:id="rId14"/>
      <w:headerReference w:type="first" r:id="rId15"/>
      <w:pgSz w:w="16838" w:h="11906" w:orient="landscape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FB19" w14:textId="77777777" w:rsidR="00000000" w:rsidRDefault="009C1B61">
      <w:r>
        <w:separator/>
      </w:r>
    </w:p>
  </w:endnote>
  <w:endnote w:type="continuationSeparator" w:id="0">
    <w:p w14:paraId="79AAB16F" w14:textId="77777777" w:rsidR="00000000" w:rsidRDefault="009C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4C84" w14:textId="77777777" w:rsidR="00EE22EA" w:rsidRDefault="009C1B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E94BD5" wp14:editId="180EF83B">
          <wp:simplePos x="0" y="0"/>
          <wp:positionH relativeFrom="column">
            <wp:posOffset>7161530</wp:posOffset>
          </wp:positionH>
          <wp:positionV relativeFrom="paragraph">
            <wp:posOffset>0</wp:posOffset>
          </wp:positionV>
          <wp:extent cx="1976755" cy="476250"/>
          <wp:effectExtent l="0" t="0" r="0" b="0"/>
          <wp:wrapSquare wrapText="bothSides" distT="0" distB="0" distL="114300" distR="114300"/>
          <wp:docPr id="2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675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3255B1" w14:textId="77777777" w:rsidR="00EE22EA" w:rsidRDefault="00EE22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E37D" w14:textId="77777777" w:rsidR="00000000" w:rsidRDefault="009C1B61">
      <w:r>
        <w:separator/>
      </w:r>
    </w:p>
  </w:footnote>
  <w:footnote w:type="continuationSeparator" w:id="0">
    <w:p w14:paraId="03D79A82" w14:textId="77777777" w:rsidR="00000000" w:rsidRDefault="009C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A320" w14:textId="77777777" w:rsidR="00EE22EA" w:rsidRDefault="00EE22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0A6"/>
    <w:multiLevelType w:val="multilevel"/>
    <w:tmpl w:val="29E215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EA"/>
    <w:rsid w:val="009C1B61"/>
    <w:rsid w:val="00E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98E8"/>
  <w15:docId w15:val="{FE23196D-C24A-446B-8016-E4F86AD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cs="Times New Roman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1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semiHidden/>
    <w:unhideWhenUsed/>
    <w:qFormat/>
    <w:rsid w:val="00C91823"/>
    <w:pPr>
      <w:numPr>
        <w:ilvl w:val="1"/>
        <w:numId w:val="1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semiHidden/>
    <w:unhideWhenUsed/>
    <w:qFormat/>
    <w:rsid w:val="00B773CE"/>
    <w:pPr>
      <w:numPr>
        <w:ilvl w:val="2"/>
        <w:numId w:val="1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ulletted">
    <w:name w:val="Bulletted"/>
    <w:basedOn w:val="Normal"/>
    <w:next w:val="Normal"/>
    <w:rsid w:val="00B773CE"/>
    <w:pPr>
      <w:tabs>
        <w:tab w:val="left" w:pos="360"/>
        <w:tab w:val="num" w:pos="720"/>
        <w:tab w:val="left" w:pos="1080"/>
        <w:tab w:val="left" w:pos="1800"/>
        <w:tab w:val="left" w:pos="3240"/>
      </w:tabs>
      <w:ind w:left="720" w:hanging="720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Default">
    <w:name w:val="Default"/>
    <w:rsid w:val="00DF78EB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39"/>
    <w:rsid w:val="00DF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B1B7D"/>
    <w:pPr>
      <w:ind w:left="720"/>
      <w:contextualSpacing/>
    </w:pPr>
    <w:rPr>
      <w:rFonts w:ascii="Times New Roman" w:eastAsia="Times New Roman" w:hAnsi="Times New Roman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gkelc">
    <w:name w:val="hgkelc"/>
    <w:basedOn w:val="DefaultParagraphFont"/>
    <w:rsid w:val="009D048E"/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IzsGSzWmwV4o9lu3BtTfvkgpQ==">AMUW2mXGAmEBnjJum35MotrVAnlQzLtSVQnOo3SRg9xY+xlGSmwT/o8TdAfIj8OJpE9NMDdACqLmCK3eYoKmuom/bKMY2Fprslcn/6BUk382TFvJM971Fd2BZq97NN8ujyAFbZMePrTgCwOynahvACOWSY22hGy4XvrA5OQ9Ag2C6bUad/56wbfDPH499RuekMm5ck7h0hFJq/qsX5iIibIqjv7uSW1Hhg==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Leeson P (Patricia)</dc:creator>
  <cp:lastModifiedBy>Ms McGlinchie</cp:lastModifiedBy>
  <cp:revision>2</cp:revision>
  <dcterms:created xsi:type="dcterms:W3CDTF">2022-09-20T15:13:00Z</dcterms:created>
  <dcterms:modified xsi:type="dcterms:W3CDTF">2022-09-20T15:13:00Z</dcterms:modified>
</cp:coreProperties>
</file>