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F682" w14:textId="77777777" w:rsidR="000F20EB" w:rsidRDefault="002E2BB2">
      <w:pPr>
        <w:spacing w:line="240" w:lineRule="auto"/>
        <w:jc w:val="center"/>
        <w:rPr>
          <w:rFonts w:ascii="Tahoma" w:eastAsia="Tahoma" w:hAnsi="Tahoma" w:cs="Tahoma"/>
          <w:b/>
          <w:sz w:val="40"/>
          <w:szCs w:val="40"/>
        </w:rPr>
      </w:pPr>
      <w:r>
        <w:rPr>
          <w:rFonts w:ascii="Tahoma" w:eastAsia="Tahoma" w:hAnsi="Tahoma" w:cs="Tahoma"/>
          <w:b/>
          <w:sz w:val="40"/>
          <w:szCs w:val="40"/>
        </w:rPr>
        <w:t>Clackmannan Primary School and ELC 2024/25</w:t>
      </w:r>
    </w:p>
    <w:p w14:paraId="7654A19B" w14:textId="77777777" w:rsidR="000F20EB" w:rsidRDefault="002E2BB2">
      <w:pPr>
        <w:spacing w:line="240" w:lineRule="auto"/>
        <w:jc w:val="center"/>
        <w:rPr>
          <w:rFonts w:ascii="Tahoma" w:eastAsia="Tahoma" w:hAnsi="Tahoma" w:cs="Tahoma"/>
          <w:b/>
          <w:sz w:val="40"/>
          <w:szCs w:val="40"/>
        </w:rPr>
      </w:pPr>
      <w:r>
        <w:rPr>
          <w:rFonts w:ascii="Tahoma" w:eastAsia="Tahoma" w:hAnsi="Tahoma" w:cs="Tahoma"/>
          <w:b/>
          <w:sz w:val="40"/>
          <w:szCs w:val="40"/>
        </w:rPr>
        <w:t>PUPIL EQUITY FUND PLAN</w:t>
      </w:r>
    </w:p>
    <w:p w14:paraId="27C8A2FB" w14:textId="77777777" w:rsidR="000F20EB" w:rsidRDefault="002E2BB2">
      <w:pPr>
        <w:spacing w:line="240" w:lineRule="auto"/>
        <w:jc w:val="center"/>
        <w:rPr>
          <w:rFonts w:ascii="Tahoma" w:eastAsia="Tahoma" w:hAnsi="Tahoma" w:cs="Tahoma"/>
          <w:b/>
          <w:sz w:val="40"/>
          <w:szCs w:val="40"/>
        </w:rPr>
      </w:pPr>
      <w:r>
        <w:rPr>
          <w:noProof/>
        </w:rPr>
        <w:drawing>
          <wp:anchor distT="114300" distB="114300" distL="114300" distR="114300" simplePos="0" relativeHeight="251658240" behindDoc="0" locked="0" layoutInCell="1" hidden="0" allowOverlap="1" wp14:anchorId="55FC4A24" wp14:editId="34FACC37">
            <wp:simplePos x="0" y="0"/>
            <wp:positionH relativeFrom="column">
              <wp:posOffset>3886200</wp:posOffset>
            </wp:positionH>
            <wp:positionV relativeFrom="paragraph">
              <wp:posOffset>215265</wp:posOffset>
            </wp:positionV>
            <wp:extent cx="923925" cy="847725"/>
            <wp:effectExtent l="0" t="0" r="9525" b="9525"/>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3925" cy="847725"/>
                    </a:xfrm>
                    <a:prstGeom prst="rect">
                      <a:avLst/>
                    </a:prstGeom>
                    <a:ln/>
                  </pic:spPr>
                </pic:pic>
              </a:graphicData>
            </a:graphic>
            <wp14:sizeRelH relativeFrom="margin">
              <wp14:pctWidth>0</wp14:pctWidth>
            </wp14:sizeRelH>
            <wp14:sizeRelV relativeFrom="margin">
              <wp14:pctHeight>0</wp14:pctHeight>
            </wp14:sizeRelV>
          </wp:anchor>
        </w:drawing>
      </w:r>
    </w:p>
    <w:p w14:paraId="572151C5" w14:textId="77777777" w:rsidR="000F20EB" w:rsidRDefault="000F20EB">
      <w:pPr>
        <w:spacing w:line="240" w:lineRule="auto"/>
        <w:jc w:val="center"/>
        <w:rPr>
          <w:rFonts w:ascii="Tahoma" w:eastAsia="Tahoma" w:hAnsi="Tahoma" w:cs="Tahoma"/>
          <w:b/>
          <w:sz w:val="40"/>
          <w:szCs w:val="40"/>
        </w:rPr>
      </w:pPr>
    </w:p>
    <w:p w14:paraId="420DA2BF" w14:textId="14793552" w:rsidR="000F20EB" w:rsidRDefault="000F20EB">
      <w:pPr>
        <w:spacing w:line="240" w:lineRule="auto"/>
        <w:rPr>
          <w:rFonts w:ascii="Tahoma" w:eastAsia="Tahoma" w:hAnsi="Tahoma" w:cs="Tahoma"/>
          <w:b/>
          <w:sz w:val="40"/>
          <w:szCs w:val="40"/>
        </w:rPr>
      </w:pPr>
    </w:p>
    <w:p w14:paraId="08FF4E61" w14:textId="77777777" w:rsidR="002E2BB2" w:rsidRDefault="002E2BB2">
      <w:pPr>
        <w:spacing w:line="240" w:lineRule="auto"/>
        <w:rPr>
          <w:rFonts w:ascii="Tahoma" w:eastAsia="Tahoma" w:hAnsi="Tahoma" w:cs="Tahoma"/>
          <w:b/>
          <w:sz w:val="40"/>
          <w:szCs w:val="40"/>
        </w:rPr>
      </w:pPr>
    </w:p>
    <w:p w14:paraId="2029484A" w14:textId="77777777" w:rsidR="000F20EB" w:rsidRDefault="002E2BB2">
      <w:pPr>
        <w:spacing w:line="240" w:lineRule="auto"/>
        <w:jc w:val="center"/>
        <w:rPr>
          <w:rFonts w:ascii="Tahoma" w:eastAsia="Tahoma" w:hAnsi="Tahoma" w:cs="Tahoma"/>
          <w:b/>
          <w:sz w:val="30"/>
          <w:szCs w:val="30"/>
        </w:rPr>
      </w:pPr>
      <w:r>
        <w:rPr>
          <w:rFonts w:ascii="Tahoma" w:eastAsia="Tahoma" w:hAnsi="Tahoma" w:cs="Tahoma"/>
          <w:b/>
          <w:sz w:val="30"/>
          <w:szCs w:val="30"/>
        </w:rPr>
        <w:t>Raising Attainment, Accelerating Progress and Closing the Poverty Related Attainment Gap</w:t>
      </w:r>
    </w:p>
    <w:p w14:paraId="6AC6FC9F" w14:textId="77777777" w:rsidR="000F20EB" w:rsidRDefault="000F20EB">
      <w:pPr>
        <w:spacing w:line="240" w:lineRule="auto"/>
        <w:jc w:val="center"/>
        <w:rPr>
          <w:rFonts w:ascii="Tahoma" w:eastAsia="Tahoma" w:hAnsi="Tahoma" w:cs="Tahoma"/>
          <w:b/>
          <w:sz w:val="40"/>
          <w:szCs w:val="40"/>
        </w:rPr>
      </w:pPr>
    </w:p>
    <w:p w14:paraId="6ED65360" w14:textId="77777777" w:rsidR="000F20EB" w:rsidRDefault="002E2BB2">
      <w:pPr>
        <w:spacing w:line="240" w:lineRule="auto"/>
        <w:jc w:val="center"/>
      </w:pPr>
      <w:r>
        <w:rPr>
          <w:rFonts w:ascii="Tahoma" w:eastAsia="Tahoma" w:hAnsi="Tahoma" w:cs="Tahoma"/>
          <w:i/>
          <w:sz w:val="30"/>
          <w:szCs w:val="30"/>
        </w:rPr>
        <w:t>Our vision is for our whole community to thrive, be inspired and for doors to be opened to the wider world.</w:t>
      </w:r>
    </w:p>
    <w:tbl>
      <w:tblPr>
        <w:tblStyle w:val="a1"/>
        <w:tblpPr w:leftFromText="180" w:rightFromText="180" w:topFromText="180" w:bottomFromText="180" w:vertAnchor="text"/>
        <w:tblW w:w="13890" w:type="dxa"/>
        <w:tblBorders>
          <w:top w:val="nil"/>
          <w:left w:val="nil"/>
          <w:bottom w:val="nil"/>
          <w:right w:val="nil"/>
          <w:insideH w:val="nil"/>
          <w:insideV w:val="nil"/>
        </w:tblBorders>
        <w:tblLayout w:type="fixed"/>
        <w:tblLook w:val="0600" w:firstRow="0" w:lastRow="0" w:firstColumn="0" w:lastColumn="0" w:noHBand="1" w:noVBand="1"/>
      </w:tblPr>
      <w:tblGrid>
        <w:gridCol w:w="13890"/>
      </w:tblGrid>
      <w:tr w:rsidR="000F20EB" w14:paraId="263CA84B" w14:textId="77777777">
        <w:trPr>
          <w:trHeight w:val="2865"/>
        </w:trPr>
        <w:tc>
          <w:tcPr>
            <w:tcW w:w="13890" w:type="dxa"/>
            <w:tcBorders>
              <w:top w:val="single" w:sz="8" w:space="0" w:color="000000"/>
              <w:left w:val="single" w:sz="8" w:space="0" w:color="000000"/>
              <w:bottom w:val="single" w:sz="8" w:space="0" w:color="000000"/>
              <w:right w:val="single" w:sz="8" w:space="0" w:color="000000"/>
            </w:tcBorders>
          </w:tcPr>
          <w:p w14:paraId="2F496E35" w14:textId="77777777" w:rsidR="000F20EB" w:rsidRDefault="002E2BB2">
            <w:pPr>
              <w:ind w:left="140" w:right="140"/>
              <w:jc w:val="center"/>
              <w:rPr>
                <w:b/>
                <w:sz w:val="24"/>
                <w:szCs w:val="24"/>
                <w:u w:val="single"/>
              </w:rPr>
            </w:pPr>
            <w:bookmarkStart w:id="0" w:name="_Hlk184897363"/>
            <w:r>
              <w:rPr>
                <w:b/>
                <w:sz w:val="24"/>
                <w:szCs w:val="24"/>
                <w:u w:val="single"/>
              </w:rPr>
              <w:lastRenderedPageBreak/>
              <w:t xml:space="preserve">Pupil Equity Fund Planning- Clackmannan PS and ELC </w:t>
            </w:r>
          </w:p>
          <w:p w14:paraId="2F15A31F" w14:textId="77777777" w:rsidR="000F20EB" w:rsidRDefault="000F20EB">
            <w:pPr>
              <w:ind w:right="140"/>
              <w:rPr>
                <w:sz w:val="24"/>
                <w:szCs w:val="24"/>
                <w:u w:val="single"/>
              </w:rPr>
            </w:pPr>
          </w:p>
          <w:p w14:paraId="6C1FBB1E" w14:textId="77777777" w:rsidR="000F20EB" w:rsidRDefault="000F20EB">
            <w:pPr>
              <w:ind w:left="140" w:right="140"/>
              <w:jc w:val="center"/>
              <w:rPr>
                <w:sz w:val="24"/>
                <w:szCs w:val="24"/>
                <w:u w:val="single"/>
              </w:rPr>
            </w:pPr>
          </w:p>
          <w:p w14:paraId="185A6C74" w14:textId="77777777" w:rsidR="000F20EB" w:rsidRDefault="002E2BB2">
            <w:pPr>
              <w:ind w:right="140"/>
              <w:rPr>
                <w:b/>
                <w:sz w:val="24"/>
                <w:szCs w:val="24"/>
              </w:rPr>
            </w:pPr>
            <w:r>
              <w:rPr>
                <w:sz w:val="24"/>
                <w:szCs w:val="24"/>
              </w:rPr>
              <w:t xml:space="preserve">  SCHOOL:                       </w:t>
            </w:r>
            <w:r>
              <w:rPr>
                <w:b/>
                <w:sz w:val="24"/>
                <w:szCs w:val="24"/>
              </w:rPr>
              <w:t>Clackmannan Primary School and ELC</w:t>
            </w:r>
          </w:p>
          <w:p w14:paraId="5FFF7009" w14:textId="77777777" w:rsidR="000F20EB" w:rsidRDefault="002E2BB2">
            <w:pPr>
              <w:ind w:left="140" w:right="140"/>
              <w:rPr>
                <w:sz w:val="24"/>
                <w:szCs w:val="24"/>
              </w:rPr>
            </w:pPr>
            <w:r>
              <w:rPr>
                <w:sz w:val="24"/>
                <w:szCs w:val="24"/>
              </w:rPr>
              <w:t xml:space="preserve">PEF ALLOCATION:        </w:t>
            </w:r>
            <w:r>
              <w:rPr>
                <w:b/>
                <w:sz w:val="24"/>
                <w:szCs w:val="24"/>
              </w:rPr>
              <w:t>£</w:t>
            </w:r>
            <w:proofErr w:type="gramStart"/>
            <w:r>
              <w:rPr>
                <w:b/>
                <w:sz w:val="24"/>
                <w:szCs w:val="24"/>
              </w:rPr>
              <w:t>52,</w:t>
            </w:r>
            <w:r>
              <w:rPr>
                <w:b/>
                <w:sz w:val="24"/>
                <w:szCs w:val="24"/>
              </w:rPr>
              <w:t>776</w:t>
            </w:r>
            <w:r>
              <w:rPr>
                <w:sz w:val="24"/>
                <w:szCs w:val="24"/>
              </w:rPr>
              <w:t xml:space="preserve">  (</w:t>
            </w:r>
            <w:proofErr w:type="gramEnd"/>
            <w:r>
              <w:rPr>
                <w:sz w:val="24"/>
                <w:szCs w:val="24"/>
              </w:rPr>
              <w:t xml:space="preserve">PSSS, HR/Finance &amp; SALT contribution has been deducted)                         </w:t>
            </w:r>
          </w:p>
          <w:p w14:paraId="6579F790" w14:textId="77777777" w:rsidR="000F20EB" w:rsidRDefault="002E2BB2">
            <w:pPr>
              <w:ind w:left="140" w:right="140"/>
              <w:rPr>
                <w:b/>
                <w:sz w:val="24"/>
                <w:szCs w:val="24"/>
              </w:rPr>
            </w:pPr>
            <w:r>
              <w:rPr>
                <w:sz w:val="24"/>
                <w:szCs w:val="24"/>
              </w:rPr>
              <w:t xml:space="preserve">YEAR:                             </w:t>
            </w:r>
            <w:r>
              <w:rPr>
                <w:b/>
                <w:sz w:val="24"/>
                <w:szCs w:val="24"/>
              </w:rPr>
              <w:t>2023/24</w:t>
            </w:r>
          </w:p>
          <w:p w14:paraId="131B378A" w14:textId="77777777" w:rsidR="000F20EB" w:rsidRDefault="000F20EB">
            <w:pPr>
              <w:ind w:left="140" w:right="140"/>
              <w:rPr>
                <w:sz w:val="24"/>
                <w:szCs w:val="24"/>
              </w:rPr>
            </w:pPr>
          </w:p>
          <w:p w14:paraId="0F721281" w14:textId="456E8C92" w:rsidR="000F20EB" w:rsidRPr="002E2BB2" w:rsidRDefault="002E2BB2" w:rsidP="002E2BB2">
            <w:pPr>
              <w:ind w:left="140" w:right="140"/>
              <w:rPr>
                <w:b/>
                <w:sz w:val="24"/>
                <w:szCs w:val="24"/>
              </w:rPr>
            </w:pPr>
            <w:r>
              <w:rPr>
                <w:sz w:val="24"/>
                <w:szCs w:val="24"/>
              </w:rPr>
              <w:t xml:space="preserve">Additional staffing estimated costs </w:t>
            </w:r>
            <w:r>
              <w:rPr>
                <w:b/>
                <w:sz w:val="24"/>
                <w:szCs w:val="24"/>
              </w:rPr>
              <w:t>£43,305.32</w:t>
            </w:r>
          </w:p>
        </w:tc>
      </w:tr>
      <w:tr w:rsidR="000F20EB" w14:paraId="2BEDE026" w14:textId="77777777">
        <w:trPr>
          <w:trHeight w:val="455"/>
        </w:trPr>
        <w:tc>
          <w:tcPr>
            <w:tcW w:w="13890" w:type="dxa"/>
            <w:tcBorders>
              <w:top w:val="single" w:sz="8" w:space="0" w:color="000000"/>
              <w:left w:val="single" w:sz="8" w:space="0" w:color="000000"/>
              <w:bottom w:val="single" w:sz="8" w:space="0" w:color="000000"/>
              <w:right w:val="single" w:sz="8" w:space="0" w:color="000000"/>
            </w:tcBorders>
          </w:tcPr>
          <w:p w14:paraId="00111F64" w14:textId="77777777" w:rsidR="000F20EB" w:rsidRDefault="002E2BB2">
            <w:pPr>
              <w:ind w:left="140" w:right="140"/>
            </w:pPr>
            <w:r>
              <w:t>CONTEXTUAL ANALYSIS</w:t>
            </w:r>
          </w:p>
        </w:tc>
      </w:tr>
      <w:tr w:rsidR="000F20EB" w14:paraId="2A14CE56" w14:textId="77777777">
        <w:trPr>
          <w:trHeight w:val="12215"/>
        </w:trPr>
        <w:tc>
          <w:tcPr>
            <w:tcW w:w="13890" w:type="dxa"/>
            <w:tcBorders>
              <w:top w:val="single" w:sz="8" w:space="0" w:color="000000"/>
              <w:left w:val="single" w:sz="8" w:space="0" w:color="000000"/>
              <w:bottom w:val="single" w:sz="8" w:space="0" w:color="000000"/>
              <w:right w:val="single" w:sz="8" w:space="0" w:color="000000"/>
            </w:tcBorders>
            <w:shd w:val="clear" w:color="auto" w:fill="FFFFFF"/>
          </w:tcPr>
          <w:p w14:paraId="5FBCDAB6" w14:textId="77777777" w:rsidR="000F20EB" w:rsidRDefault="002E2BB2">
            <w:pPr>
              <w:rPr>
                <w:sz w:val="20"/>
                <w:szCs w:val="20"/>
              </w:rPr>
            </w:pPr>
            <w:r>
              <w:rPr>
                <w:sz w:val="20"/>
                <w:szCs w:val="20"/>
              </w:rPr>
              <w:lastRenderedPageBreak/>
              <w:t xml:space="preserve">Our projected roll will </w:t>
            </w:r>
            <w:proofErr w:type="gramStart"/>
            <w:r>
              <w:rPr>
                <w:sz w:val="20"/>
                <w:szCs w:val="20"/>
              </w:rPr>
              <w:t>be  187</w:t>
            </w:r>
            <w:proofErr w:type="gramEnd"/>
            <w:r>
              <w:rPr>
                <w:sz w:val="20"/>
                <w:szCs w:val="20"/>
              </w:rPr>
              <w:t xml:space="preserve">  learners next session. </w:t>
            </w:r>
          </w:p>
          <w:p w14:paraId="6B1F557A" w14:textId="77777777" w:rsidR="000F20EB" w:rsidRDefault="002E2BB2">
            <w:pPr>
              <w:rPr>
                <w:sz w:val="20"/>
                <w:szCs w:val="20"/>
              </w:rPr>
            </w:pPr>
            <w:r>
              <w:rPr>
                <w:sz w:val="20"/>
                <w:szCs w:val="20"/>
              </w:rPr>
              <w:t xml:space="preserve">28% of learners are in Quintile 1, 50% of learners reside in Quintile 2 and a further 10.6% live in Quintile 3.  </w:t>
            </w:r>
          </w:p>
          <w:p w14:paraId="2C1F0F99" w14:textId="77777777" w:rsidR="000F20EB" w:rsidRDefault="002E2BB2">
            <w:pPr>
              <w:rPr>
                <w:sz w:val="20"/>
                <w:szCs w:val="20"/>
              </w:rPr>
            </w:pPr>
            <w:r>
              <w:rPr>
                <w:sz w:val="20"/>
                <w:szCs w:val="20"/>
              </w:rPr>
              <w:t xml:space="preserve">37% of learners have Additional Support Needs and are supported through Staged Intervention processes. </w:t>
            </w:r>
          </w:p>
          <w:p w14:paraId="3EA6382C" w14:textId="77777777" w:rsidR="000F20EB" w:rsidRDefault="002E2BB2">
            <w:pPr>
              <w:rPr>
                <w:sz w:val="20"/>
                <w:szCs w:val="20"/>
              </w:rPr>
            </w:pPr>
            <w:r>
              <w:rPr>
                <w:sz w:val="20"/>
                <w:szCs w:val="20"/>
              </w:rPr>
              <w:t xml:space="preserve">29% of learners are in receipt of FME </w:t>
            </w:r>
            <w:r>
              <w:rPr>
                <w:sz w:val="20"/>
                <w:szCs w:val="20"/>
              </w:rPr>
              <w:t xml:space="preserve">which is an increase of 6% from last session. </w:t>
            </w:r>
          </w:p>
          <w:p w14:paraId="09C5D6CA" w14:textId="77777777" w:rsidR="000F20EB" w:rsidRDefault="002E2BB2">
            <w:pPr>
              <w:rPr>
                <w:sz w:val="20"/>
                <w:szCs w:val="20"/>
              </w:rPr>
            </w:pPr>
            <w:r>
              <w:rPr>
                <w:sz w:val="20"/>
                <w:szCs w:val="20"/>
              </w:rPr>
              <w:t>A few learners are care experienced.</w:t>
            </w:r>
          </w:p>
          <w:p w14:paraId="05CDBEF4" w14:textId="77777777" w:rsidR="000F20EB" w:rsidRDefault="002E2BB2">
            <w:pPr>
              <w:rPr>
                <w:sz w:val="20"/>
                <w:szCs w:val="20"/>
              </w:rPr>
            </w:pPr>
            <w:r>
              <w:rPr>
                <w:sz w:val="20"/>
                <w:szCs w:val="20"/>
              </w:rPr>
              <w:t>Average attendance for Q1 learners in session 2023-24 was 92.2% which is in line with the local authority stretch aim.</w:t>
            </w:r>
          </w:p>
          <w:p w14:paraId="412359A0" w14:textId="77777777" w:rsidR="000F20EB" w:rsidRDefault="000F20EB">
            <w:pPr>
              <w:rPr>
                <w:b/>
                <w:u w:val="single"/>
              </w:rPr>
            </w:pPr>
          </w:p>
          <w:p w14:paraId="043237CE" w14:textId="77777777" w:rsidR="000F20EB" w:rsidRDefault="002E2BB2">
            <w:pPr>
              <w:rPr>
                <w:b/>
                <w:u w:val="single"/>
              </w:rPr>
            </w:pPr>
            <w:r>
              <w:rPr>
                <w:b/>
                <w:u w:val="single"/>
              </w:rPr>
              <w:t>2023-24 Attainment for Quintile 1 learners</w:t>
            </w:r>
          </w:p>
          <w:p w14:paraId="159383CC" w14:textId="77777777" w:rsidR="000F20EB" w:rsidRDefault="000F20EB"/>
          <w:sdt>
            <w:sdtPr>
              <w:tag w:val="goog_rdk_0"/>
              <w:id w:val="671532907"/>
              <w:lock w:val="contentLocked"/>
            </w:sdtPr>
            <w:sdtEndPr/>
            <w:sdtContent>
              <w:tbl>
                <w:tblPr>
                  <w:tblStyle w:val="a2"/>
                  <w:tblW w:w="6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1815"/>
                  <w:gridCol w:w="1965"/>
                  <w:gridCol w:w="810"/>
                </w:tblGrid>
                <w:tr w:rsidR="000F20EB" w14:paraId="662BFBEF" w14:textId="77777777">
                  <w:trPr>
                    <w:jc w:val="center"/>
                  </w:trPr>
                  <w:tc>
                    <w:tcPr>
                      <w:tcW w:w="1710" w:type="dxa"/>
                    </w:tcPr>
                    <w:p w14:paraId="5733F828" w14:textId="77777777" w:rsidR="000F20EB" w:rsidRDefault="002E2BB2">
                      <w:pPr>
                        <w:framePr w:hSpace="180" w:vSpace="180" w:wrap="around" w:vAnchor="text" w:hAnchor="text"/>
                        <w:widowControl w:val="0"/>
                        <w:spacing w:line="240" w:lineRule="auto"/>
                        <w:rPr>
                          <w:sz w:val="16"/>
                          <w:szCs w:val="16"/>
                        </w:rPr>
                      </w:pPr>
                      <w:r>
                        <w:rPr>
                          <w:sz w:val="16"/>
                          <w:szCs w:val="16"/>
                        </w:rPr>
                        <w:t>Curricular Area</w:t>
                      </w:r>
                    </w:p>
                  </w:tc>
                  <w:tc>
                    <w:tcPr>
                      <w:tcW w:w="1815" w:type="dxa"/>
                    </w:tcPr>
                    <w:p w14:paraId="7FC40892" w14:textId="77777777" w:rsidR="000F20EB" w:rsidRDefault="002E2BB2">
                      <w:pPr>
                        <w:framePr w:hSpace="180" w:vSpace="180" w:wrap="around" w:vAnchor="text" w:hAnchor="text"/>
                        <w:widowControl w:val="0"/>
                        <w:spacing w:line="240" w:lineRule="auto"/>
                        <w:rPr>
                          <w:sz w:val="16"/>
                          <w:szCs w:val="16"/>
                        </w:rPr>
                      </w:pPr>
                      <w:r>
                        <w:rPr>
                          <w:sz w:val="16"/>
                          <w:szCs w:val="16"/>
                        </w:rPr>
                        <w:t>Quintile 1 learners</w:t>
                      </w:r>
                    </w:p>
                    <w:p w14:paraId="1E89B46A" w14:textId="77777777" w:rsidR="000F20EB" w:rsidRDefault="002E2BB2">
                      <w:pPr>
                        <w:framePr w:hSpace="180" w:vSpace="180" w:wrap="around" w:vAnchor="text" w:hAnchor="text"/>
                        <w:widowControl w:val="0"/>
                        <w:spacing w:line="240" w:lineRule="auto"/>
                        <w:rPr>
                          <w:sz w:val="16"/>
                          <w:szCs w:val="16"/>
                        </w:rPr>
                      </w:pPr>
                      <w:r>
                        <w:rPr>
                          <w:sz w:val="16"/>
                          <w:szCs w:val="16"/>
                        </w:rPr>
                        <w:t>(Clackmannan- 23-24)</w:t>
                      </w:r>
                    </w:p>
                  </w:tc>
                  <w:tc>
                    <w:tcPr>
                      <w:tcW w:w="1965" w:type="dxa"/>
                    </w:tcPr>
                    <w:p w14:paraId="23DB053A" w14:textId="77777777" w:rsidR="000F20EB" w:rsidRDefault="002E2BB2">
                      <w:pPr>
                        <w:framePr w:hSpace="180" w:vSpace="180" w:wrap="around" w:vAnchor="text" w:hAnchor="text"/>
                        <w:widowControl w:val="0"/>
                        <w:spacing w:line="240" w:lineRule="auto"/>
                        <w:rPr>
                          <w:sz w:val="16"/>
                          <w:szCs w:val="16"/>
                        </w:rPr>
                      </w:pPr>
                      <w:r>
                        <w:rPr>
                          <w:sz w:val="16"/>
                          <w:szCs w:val="16"/>
                        </w:rPr>
                        <w:t xml:space="preserve">Quintile 5 learners </w:t>
                      </w:r>
                    </w:p>
                    <w:p w14:paraId="246436D2" w14:textId="77777777" w:rsidR="000F20EB" w:rsidRDefault="002E2BB2">
                      <w:pPr>
                        <w:framePr w:hSpace="180" w:vSpace="180" w:wrap="around" w:vAnchor="text" w:hAnchor="text"/>
                        <w:widowControl w:val="0"/>
                        <w:spacing w:line="240" w:lineRule="auto"/>
                        <w:rPr>
                          <w:sz w:val="16"/>
                          <w:szCs w:val="16"/>
                        </w:rPr>
                      </w:pPr>
                      <w:r>
                        <w:rPr>
                          <w:sz w:val="16"/>
                          <w:szCs w:val="16"/>
                        </w:rPr>
                        <w:t>(National figures- 22-23)</w:t>
                      </w:r>
                    </w:p>
                  </w:tc>
                  <w:tc>
                    <w:tcPr>
                      <w:tcW w:w="810" w:type="dxa"/>
                    </w:tcPr>
                    <w:p w14:paraId="3397EB55" w14:textId="77777777" w:rsidR="000F20EB" w:rsidRDefault="002E2BB2">
                      <w:pPr>
                        <w:framePr w:hSpace="180" w:vSpace="180" w:wrap="around" w:vAnchor="text" w:hAnchor="text"/>
                        <w:widowControl w:val="0"/>
                        <w:spacing w:line="240" w:lineRule="auto"/>
                        <w:rPr>
                          <w:sz w:val="16"/>
                          <w:szCs w:val="16"/>
                        </w:rPr>
                      </w:pPr>
                      <w:r>
                        <w:rPr>
                          <w:sz w:val="16"/>
                          <w:szCs w:val="16"/>
                        </w:rPr>
                        <w:t>Gap</w:t>
                      </w:r>
                    </w:p>
                  </w:tc>
                </w:tr>
                <w:tr w:rsidR="000F20EB" w14:paraId="70B94195" w14:textId="77777777">
                  <w:trPr>
                    <w:jc w:val="center"/>
                  </w:trPr>
                  <w:tc>
                    <w:tcPr>
                      <w:tcW w:w="1710" w:type="dxa"/>
                    </w:tcPr>
                    <w:p w14:paraId="406CFAC8" w14:textId="77777777" w:rsidR="000F20EB" w:rsidRDefault="002E2BB2">
                      <w:pPr>
                        <w:framePr w:hSpace="180" w:vSpace="180" w:wrap="around" w:vAnchor="text" w:hAnchor="text"/>
                        <w:widowControl w:val="0"/>
                        <w:spacing w:line="240" w:lineRule="auto"/>
                        <w:rPr>
                          <w:sz w:val="16"/>
                          <w:szCs w:val="16"/>
                        </w:rPr>
                      </w:pPr>
                      <w:r>
                        <w:rPr>
                          <w:sz w:val="16"/>
                          <w:szCs w:val="16"/>
                        </w:rPr>
                        <w:t>Reading</w:t>
                      </w:r>
                    </w:p>
                  </w:tc>
                  <w:tc>
                    <w:tcPr>
                      <w:tcW w:w="1815" w:type="dxa"/>
                    </w:tcPr>
                    <w:p w14:paraId="2FDDA745" w14:textId="77777777" w:rsidR="000F20EB" w:rsidRDefault="002E2BB2">
                      <w:pPr>
                        <w:framePr w:hSpace="180" w:vSpace="180" w:wrap="around" w:vAnchor="text" w:hAnchor="text"/>
                        <w:widowControl w:val="0"/>
                        <w:spacing w:line="240" w:lineRule="auto"/>
                        <w:rPr>
                          <w:sz w:val="16"/>
                          <w:szCs w:val="16"/>
                        </w:rPr>
                      </w:pPr>
                      <w:r>
                        <w:rPr>
                          <w:sz w:val="16"/>
                          <w:szCs w:val="16"/>
                        </w:rPr>
                        <w:t>83%</w:t>
                      </w:r>
                    </w:p>
                  </w:tc>
                  <w:tc>
                    <w:tcPr>
                      <w:tcW w:w="1965" w:type="dxa"/>
                    </w:tcPr>
                    <w:p w14:paraId="6566C906" w14:textId="77777777" w:rsidR="000F20EB" w:rsidRDefault="002E2BB2">
                      <w:pPr>
                        <w:framePr w:hSpace="180" w:vSpace="180" w:wrap="around" w:vAnchor="text" w:hAnchor="text"/>
                        <w:widowControl w:val="0"/>
                        <w:spacing w:line="240" w:lineRule="auto"/>
                        <w:rPr>
                          <w:sz w:val="16"/>
                          <w:szCs w:val="16"/>
                        </w:rPr>
                      </w:pPr>
                      <w:r>
                        <w:rPr>
                          <w:sz w:val="16"/>
                          <w:szCs w:val="16"/>
                        </w:rPr>
                        <w:t>89%</w:t>
                      </w:r>
                    </w:p>
                  </w:tc>
                  <w:tc>
                    <w:tcPr>
                      <w:tcW w:w="810" w:type="dxa"/>
                    </w:tcPr>
                    <w:p w14:paraId="333AC58B" w14:textId="77777777" w:rsidR="000F20EB" w:rsidRDefault="002E2BB2">
                      <w:pPr>
                        <w:framePr w:hSpace="180" w:vSpace="180" w:wrap="around" w:vAnchor="text" w:hAnchor="text"/>
                        <w:widowControl w:val="0"/>
                        <w:spacing w:line="240" w:lineRule="auto"/>
                        <w:rPr>
                          <w:sz w:val="16"/>
                          <w:szCs w:val="16"/>
                        </w:rPr>
                      </w:pPr>
                      <w:r>
                        <w:rPr>
                          <w:sz w:val="16"/>
                          <w:szCs w:val="16"/>
                        </w:rPr>
                        <w:t>6%</w:t>
                      </w:r>
                    </w:p>
                  </w:tc>
                </w:tr>
                <w:tr w:rsidR="000F20EB" w14:paraId="21D4568F" w14:textId="77777777">
                  <w:trPr>
                    <w:jc w:val="center"/>
                  </w:trPr>
                  <w:tc>
                    <w:tcPr>
                      <w:tcW w:w="1710" w:type="dxa"/>
                    </w:tcPr>
                    <w:p w14:paraId="0E15D40A" w14:textId="77777777" w:rsidR="000F20EB" w:rsidRDefault="002E2BB2">
                      <w:pPr>
                        <w:framePr w:hSpace="180" w:vSpace="180" w:wrap="around" w:vAnchor="text" w:hAnchor="text"/>
                        <w:widowControl w:val="0"/>
                        <w:spacing w:line="240" w:lineRule="auto"/>
                        <w:rPr>
                          <w:sz w:val="16"/>
                          <w:szCs w:val="16"/>
                        </w:rPr>
                      </w:pPr>
                      <w:r>
                        <w:rPr>
                          <w:sz w:val="16"/>
                          <w:szCs w:val="16"/>
                        </w:rPr>
                        <w:t>Writing</w:t>
                      </w:r>
                    </w:p>
                  </w:tc>
                  <w:tc>
                    <w:tcPr>
                      <w:tcW w:w="1815" w:type="dxa"/>
                    </w:tcPr>
                    <w:p w14:paraId="76742E1D" w14:textId="77777777" w:rsidR="000F20EB" w:rsidRDefault="002E2BB2">
                      <w:pPr>
                        <w:framePr w:hSpace="180" w:vSpace="180" w:wrap="around" w:vAnchor="text" w:hAnchor="text"/>
                        <w:widowControl w:val="0"/>
                        <w:spacing w:line="240" w:lineRule="auto"/>
                        <w:rPr>
                          <w:sz w:val="16"/>
                          <w:szCs w:val="16"/>
                        </w:rPr>
                      </w:pPr>
                      <w:r>
                        <w:rPr>
                          <w:sz w:val="16"/>
                          <w:szCs w:val="16"/>
                        </w:rPr>
                        <w:t>77.5%</w:t>
                      </w:r>
                    </w:p>
                  </w:tc>
                  <w:tc>
                    <w:tcPr>
                      <w:tcW w:w="1965" w:type="dxa"/>
                    </w:tcPr>
                    <w:p w14:paraId="621A0E5C" w14:textId="77777777" w:rsidR="000F20EB" w:rsidRDefault="002E2BB2">
                      <w:pPr>
                        <w:framePr w:hSpace="180" w:vSpace="180" w:wrap="around" w:vAnchor="text" w:hAnchor="text"/>
                        <w:widowControl w:val="0"/>
                        <w:spacing w:line="240" w:lineRule="auto"/>
                        <w:rPr>
                          <w:sz w:val="16"/>
                          <w:szCs w:val="16"/>
                        </w:rPr>
                      </w:pPr>
                      <w:r>
                        <w:rPr>
                          <w:sz w:val="16"/>
                          <w:szCs w:val="16"/>
                        </w:rPr>
                        <w:t>86%</w:t>
                      </w:r>
                    </w:p>
                  </w:tc>
                  <w:tc>
                    <w:tcPr>
                      <w:tcW w:w="810" w:type="dxa"/>
                    </w:tcPr>
                    <w:p w14:paraId="1CA5DB22" w14:textId="77777777" w:rsidR="000F20EB" w:rsidRDefault="002E2BB2">
                      <w:pPr>
                        <w:framePr w:hSpace="180" w:vSpace="180" w:wrap="around" w:vAnchor="text" w:hAnchor="text"/>
                        <w:widowControl w:val="0"/>
                        <w:spacing w:line="240" w:lineRule="auto"/>
                        <w:rPr>
                          <w:sz w:val="16"/>
                          <w:szCs w:val="16"/>
                        </w:rPr>
                      </w:pPr>
                      <w:r>
                        <w:rPr>
                          <w:sz w:val="16"/>
                          <w:szCs w:val="16"/>
                        </w:rPr>
                        <w:t>8.5%</w:t>
                      </w:r>
                    </w:p>
                  </w:tc>
                </w:tr>
                <w:tr w:rsidR="000F20EB" w14:paraId="12FAD5C2" w14:textId="77777777">
                  <w:trPr>
                    <w:jc w:val="center"/>
                  </w:trPr>
                  <w:tc>
                    <w:tcPr>
                      <w:tcW w:w="1710" w:type="dxa"/>
                    </w:tcPr>
                    <w:p w14:paraId="6A09700F" w14:textId="77777777" w:rsidR="000F20EB" w:rsidRDefault="002E2BB2">
                      <w:pPr>
                        <w:framePr w:hSpace="180" w:vSpace="180" w:wrap="around" w:vAnchor="text" w:hAnchor="text"/>
                        <w:widowControl w:val="0"/>
                        <w:spacing w:line="240" w:lineRule="auto"/>
                        <w:rPr>
                          <w:sz w:val="16"/>
                          <w:szCs w:val="16"/>
                        </w:rPr>
                      </w:pPr>
                      <w:r>
                        <w:rPr>
                          <w:sz w:val="16"/>
                          <w:szCs w:val="16"/>
                        </w:rPr>
                        <w:t>Talking and Listening</w:t>
                      </w:r>
                    </w:p>
                  </w:tc>
                  <w:tc>
                    <w:tcPr>
                      <w:tcW w:w="1815" w:type="dxa"/>
                    </w:tcPr>
                    <w:p w14:paraId="071CCD90" w14:textId="77777777" w:rsidR="000F20EB" w:rsidRDefault="002E2BB2">
                      <w:pPr>
                        <w:framePr w:hSpace="180" w:vSpace="180" w:wrap="around" w:vAnchor="text" w:hAnchor="text"/>
                        <w:widowControl w:val="0"/>
                        <w:spacing w:line="240" w:lineRule="auto"/>
                        <w:rPr>
                          <w:sz w:val="16"/>
                          <w:szCs w:val="16"/>
                        </w:rPr>
                      </w:pPr>
                      <w:r>
                        <w:rPr>
                          <w:sz w:val="16"/>
                          <w:szCs w:val="16"/>
                        </w:rPr>
                        <w:t>89.6%</w:t>
                      </w:r>
                    </w:p>
                  </w:tc>
                  <w:tc>
                    <w:tcPr>
                      <w:tcW w:w="1965" w:type="dxa"/>
                    </w:tcPr>
                    <w:p w14:paraId="7706C62E" w14:textId="77777777" w:rsidR="000F20EB" w:rsidRDefault="002E2BB2">
                      <w:pPr>
                        <w:framePr w:hSpace="180" w:vSpace="180" w:wrap="around" w:vAnchor="text" w:hAnchor="text"/>
                        <w:widowControl w:val="0"/>
                        <w:spacing w:line="240" w:lineRule="auto"/>
                        <w:rPr>
                          <w:sz w:val="16"/>
                          <w:szCs w:val="16"/>
                        </w:rPr>
                      </w:pPr>
                      <w:r>
                        <w:rPr>
                          <w:sz w:val="16"/>
                          <w:szCs w:val="16"/>
                        </w:rPr>
                        <w:t>93%</w:t>
                      </w:r>
                    </w:p>
                  </w:tc>
                  <w:tc>
                    <w:tcPr>
                      <w:tcW w:w="810" w:type="dxa"/>
                    </w:tcPr>
                    <w:p w14:paraId="59EDCDBE" w14:textId="77777777" w:rsidR="000F20EB" w:rsidRDefault="002E2BB2">
                      <w:pPr>
                        <w:framePr w:hSpace="180" w:vSpace="180" w:wrap="around" w:vAnchor="text" w:hAnchor="text"/>
                        <w:widowControl w:val="0"/>
                        <w:spacing w:line="240" w:lineRule="auto"/>
                        <w:rPr>
                          <w:sz w:val="16"/>
                          <w:szCs w:val="16"/>
                        </w:rPr>
                      </w:pPr>
                      <w:r>
                        <w:rPr>
                          <w:sz w:val="16"/>
                          <w:szCs w:val="16"/>
                        </w:rPr>
                        <w:t>3.4%</w:t>
                      </w:r>
                    </w:p>
                  </w:tc>
                </w:tr>
                <w:tr w:rsidR="000F20EB" w14:paraId="1F317C41" w14:textId="77777777">
                  <w:trPr>
                    <w:jc w:val="center"/>
                  </w:trPr>
                  <w:tc>
                    <w:tcPr>
                      <w:tcW w:w="1710" w:type="dxa"/>
                    </w:tcPr>
                    <w:p w14:paraId="3BE71DE3" w14:textId="77777777" w:rsidR="000F20EB" w:rsidRDefault="002E2BB2">
                      <w:pPr>
                        <w:framePr w:hSpace="180" w:vSpace="180" w:wrap="around" w:vAnchor="text" w:hAnchor="text"/>
                        <w:widowControl w:val="0"/>
                        <w:spacing w:line="240" w:lineRule="auto"/>
                        <w:rPr>
                          <w:sz w:val="16"/>
                          <w:szCs w:val="16"/>
                        </w:rPr>
                      </w:pPr>
                      <w:r>
                        <w:rPr>
                          <w:sz w:val="16"/>
                          <w:szCs w:val="16"/>
                        </w:rPr>
                        <w:t>Literacy Overall</w:t>
                      </w:r>
                    </w:p>
                  </w:tc>
                  <w:tc>
                    <w:tcPr>
                      <w:tcW w:w="1815" w:type="dxa"/>
                    </w:tcPr>
                    <w:p w14:paraId="2C725FF6" w14:textId="77777777" w:rsidR="000F20EB" w:rsidRDefault="002E2BB2">
                      <w:pPr>
                        <w:framePr w:hSpace="180" w:vSpace="180" w:wrap="around" w:vAnchor="text" w:hAnchor="text"/>
                        <w:widowControl w:val="0"/>
                        <w:spacing w:line="240" w:lineRule="auto"/>
                        <w:rPr>
                          <w:sz w:val="16"/>
                          <w:szCs w:val="16"/>
                        </w:rPr>
                      </w:pPr>
                      <w:r>
                        <w:rPr>
                          <w:sz w:val="16"/>
                          <w:szCs w:val="16"/>
                        </w:rPr>
                        <w:t>76%</w:t>
                      </w:r>
                    </w:p>
                  </w:tc>
                  <w:tc>
                    <w:tcPr>
                      <w:tcW w:w="1965" w:type="dxa"/>
                    </w:tcPr>
                    <w:p w14:paraId="3AD839AF" w14:textId="77777777" w:rsidR="000F20EB" w:rsidRDefault="002E2BB2">
                      <w:pPr>
                        <w:framePr w:hSpace="180" w:vSpace="180" w:wrap="around" w:vAnchor="text" w:hAnchor="text"/>
                        <w:widowControl w:val="0"/>
                        <w:spacing w:line="240" w:lineRule="auto"/>
                        <w:rPr>
                          <w:sz w:val="16"/>
                          <w:szCs w:val="16"/>
                        </w:rPr>
                      </w:pPr>
                      <w:r>
                        <w:rPr>
                          <w:sz w:val="16"/>
                          <w:szCs w:val="16"/>
                        </w:rPr>
                        <w:t>84%</w:t>
                      </w:r>
                    </w:p>
                  </w:tc>
                  <w:tc>
                    <w:tcPr>
                      <w:tcW w:w="810" w:type="dxa"/>
                    </w:tcPr>
                    <w:p w14:paraId="1429B5D6" w14:textId="77777777" w:rsidR="000F20EB" w:rsidRDefault="002E2BB2">
                      <w:pPr>
                        <w:framePr w:hSpace="180" w:vSpace="180" w:wrap="around" w:vAnchor="text" w:hAnchor="text"/>
                        <w:widowControl w:val="0"/>
                        <w:spacing w:line="240" w:lineRule="auto"/>
                        <w:rPr>
                          <w:sz w:val="16"/>
                          <w:szCs w:val="16"/>
                        </w:rPr>
                      </w:pPr>
                      <w:r>
                        <w:rPr>
                          <w:sz w:val="16"/>
                          <w:szCs w:val="16"/>
                        </w:rPr>
                        <w:t>8%</w:t>
                      </w:r>
                    </w:p>
                  </w:tc>
                </w:tr>
                <w:tr w:rsidR="000F20EB" w14:paraId="71B5944A" w14:textId="77777777">
                  <w:trPr>
                    <w:jc w:val="center"/>
                  </w:trPr>
                  <w:tc>
                    <w:tcPr>
                      <w:tcW w:w="1710" w:type="dxa"/>
                    </w:tcPr>
                    <w:p w14:paraId="48789537" w14:textId="77777777" w:rsidR="000F20EB" w:rsidRDefault="002E2BB2">
                      <w:pPr>
                        <w:framePr w:hSpace="180" w:vSpace="180" w:wrap="around" w:vAnchor="text" w:hAnchor="text"/>
                        <w:widowControl w:val="0"/>
                        <w:spacing w:line="240" w:lineRule="auto"/>
                        <w:rPr>
                          <w:sz w:val="16"/>
                          <w:szCs w:val="16"/>
                        </w:rPr>
                      </w:pPr>
                      <w:r>
                        <w:rPr>
                          <w:sz w:val="16"/>
                          <w:szCs w:val="16"/>
                        </w:rPr>
                        <w:t>Numeracy</w:t>
                      </w:r>
                    </w:p>
                  </w:tc>
                  <w:tc>
                    <w:tcPr>
                      <w:tcW w:w="1815" w:type="dxa"/>
                    </w:tcPr>
                    <w:p w14:paraId="55014362" w14:textId="77777777" w:rsidR="000F20EB" w:rsidRDefault="002E2BB2">
                      <w:pPr>
                        <w:framePr w:hSpace="180" w:vSpace="180" w:wrap="around" w:vAnchor="text" w:hAnchor="text"/>
                        <w:widowControl w:val="0"/>
                        <w:spacing w:line="240" w:lineRule="auto"/>
                        <w:rPr>
                          <w:sz w:val="16"/>
                          <w:szCs w:val="16"/>
                        </w:rPr>
                      </w:pPr>
                      <w:r>
                        <w:rPr>
                          <w:sz w:val="16"/>
                          <w:szCs w:val="16"/>
                        </w:rPr>
                        <w:t>77.6%</w:t>
                      </w:r>
                    </w:p>
                  </w:tc>
                  <w:tc>
                    <w:tcPr>
                      <w:tcW w:w="1965" w:type="dxa"/>
                    </w:tcPr>
                    <w:p w14:paraId="2C82EFBA" w14:textId="77777777" w:rsidR="000F20EB" w:rsidRDefault="002E2BB2">
                      <w:pPr>
                        <w:framePr w:hSpace="180" w:vSpace="180" w:wrap="around" w:vAnchor="text" w:hAnchor="text"/>
                        <w:widowControl w:val="0"/>
                        <w:spacing w:line="240" w:lineRule="auto"/>
                        <w:rPr>
                          <w:sz w:val="16"/>
                          <w:szCs w:val="16"/>
                        </w:rPr>
                      </w:pPr>
                      <w:r>
                        <w:rPr>
                          <w:sz w:val="16"/>
                          <w:szCs w:val="16"/>
                        </w:rPr>
                        <w:t>89%</w:t>
                      </w:r>
                    </w:p>
                  </w:tc>
                  <w:tc>
                    <w:tcPr>
                      <w:tcW w:w="810" w:type="dxa"/>
                    </w:tcPr>
                    <w:p w14:paraId="36338657" w14:textId="77777777" w:rsidR="000F20EB" w:rsidRDefault="002E2BB2">
                      <w:pPr>
                        <w:framePr w:hSpace="180" w:vSpace="180" w:wrap="around" w:vAnchor="text" w:hAnchor="text"/>
                        <w:widowControl w:val="0"/>
                        <w:spacing w:line="240" w:lineRule="auto"/>
                        <w:rPr>
                          <w:sz w:val="16"/>
                          <w:szCs w:val="16"/>
                        </w:rPr>
                      </w:pPr>
                      <w:r>
                        <w:rPr>
                          <w:sz w:val="16"/>
                          <w:szCs w:val="16"/>
                        </w:rPr>
                        <w:t>11.4%</w:t>
                      </w:r>
                    </w:p>
                  </w:tc>
                </w:tr>
              </w:tbl>
            </w:sdtContent>
          </w:sdt>
          <w:p w14:paraId="5E06CF2C" w14:textId="77777777" w:rsidR="000F20EB" w:rsidRDefault="000F20EB">
            <w:pPr>
              <w:ind w:right="140"/>
            </w:pPr>
          </w:p>
          <w:sdt>
            <w:sdtPr>
              <w:tag w:val="goog_rdk_1"/>
              <w:id w:val="-1156760609"/>
              <w:lock w:val="contentLocked"/>
            </w:sdtPr>
            <w:sdtEndPr/>
            <w:sdtContent>
              <w:tbl>
                <w:tblPr>
                  <w:tblStyle w:val="a3"/>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080"/>
                  <w:gridCol w:w="960"/>
                  <w:gridCol w:w="1620"/>
                  <w:gridCol w:w="1095"/>
                </w:tblGrid>
                <w:tr w:rsidR="000F20EB" w14:paraId="550AF4D6" w14:textId="77777777">
                  <w:trPr>
                    <w:jc w:val="center"/>
                  </w:trPr>
                  <w:tc>
                    <w:tcPr>
                      <w:tcW w:w="990" w:type="dxa"/>
                    </w:tcPr>
                    <w:p w14:paraId="4646A13A" w14:textId="77777777" w:rsidR="000F20EB" w:rsidRDefault="002E2BB2">
                      <w:pPr>
                        <w:framePr w:hSpace="180" w:vSpace="180" w:wrap="around" w:vAnchor="text" w:hAnchor="text"/>
                        <w:widowControl w:val="0"/>
                        <w:spacing w:line="240" w:lineRule="auto"/>
                        <w:rPr>
                          <w:sz w:val="16"/>
                          <w:szCs w:val="16"/>
                        </w:rPr>
                      </w:pPr>
                      <w:r>
                        <w:rPr>
                          <w:sz w:val="16"/>
                          <w:szCs w:val="16"/>
                        </w:rPr>
                        <w:t>Stage</w:t>
                      </w:r>
                    </w:p>
                  </w:tc>
                  <w:tc>
                    <w:tcPr>
                      <w:tcW w:w="1080" w:type="dxa"/>
                    </w:tcPr>
                    <w:p w14:paraId="1EA40A89" w14:textId="77777777" w:rsidR="000F20EB" w:rsidRDefault="002E2BB2">
                      <w:pPr>
                        <w:framePr w:hSpace="180" w:vSpace="180" w:wrap="around" w:vAnchor="text" w:hAnchor="text"/>
                        <w:widowControl w:val="0"/>
                        <w:spacing w:line="240" w:lineRule="auto"/>
                        <w:rPr>
                          <w:sz w:val="16"/>
                          <w:szCs w:val="16"/>
                        </w:rPr>
                      </w:pPr>
                      <w:r>
                        <w:rPr>
                          <w:sz w:val="16"/>
                          <w:szCs w:val="16"/>
                        </w:rPr>
                        <w:t>Reading</w:t>
                      </w:r>
                    </w:p>
                  </w:tc>
                  <w:tc>
                    <w:tcPr>
                      <w:tcW w:w="960" w:type="dxa"/>
                    </w:tcPr>
                    <w:p w14:paraId="1634E2CB" w14:textId="77777777" w:rsidR="000F20EB" w:rsidRDefault="002E2BB2">
                      <w:pPr>
                        <w:framePr w:hSpace="180" w:vSpace="180" w:wrap="around" w:vAnchor="text" w:hAnchor="text"/>
                        <w:widowControl w:val="0"/>
                        <w:spacing w:line="240" w:lineRule="auto"/>
                        <w:rPr>
                          <w:sz w:val="16"/>
                          <w:szCs w:val="16"/>
                        </w:rPr>
                      </w:pPr>
                      <w:r>
                        <w:rPr>
                          <w:sz w:val="16"/>
                          <w:szCs w:val="16"/>
                        </w:rPr>
                        <w:t>Writing</w:t>
                      </w:r>
                    </w:p>
                  </w:tc>
                  <w:tc>
                    <w:tcPr>
                      <w:tcW w:w="1620" w:type="dxa"/>
                    </w:tcPr>
                    <w:p w14:paraId="05ED41FE" w14:textId="77777777" w:rsidR="000F20EB" w:rsidRDefault="002E2BB2">
                      <w:pPr>
                        <w:framePr w:hSpace="180" w:vSpace="180" w:wrap="around" w:vAnchor="text" w:hAnchor="text"/>
                        <w:widowControl w:val="0"/>
                        <w:spacing w:line="240" w:lineRule="auto"/>
                        <w:rPr>
                          <w:sz w:val="16"/>
                          <w:szCs w:val="16"/>
                        </w:rPr>
                      </w:pPr>
                      <w:r>
                        <w:rPr>
                          <w:sz w:val="16"/>
                          <w:szCs w:val="16"/>
                        </w:rPr>
                        <w:t>Listening &amp; Talking</w:t>
                      </w:r>
                    </w:p>
                  </w:tc>
                  <w:tc>
                    <w:tcPr>
                      <w:tcW w:w="1095" w:type="dxa"/>
                    </w:tcPr>
                    <w:p w14:paraId="7A09623F" w14:textId="77777777" w:rsidR="000F20EB" w:rsidRDefault="002E2BB2">
                      <w:pPr>
                        <w:framePr w:hSpace="180" w:vSpace="180" w:wrap="around" w:vAnchor="text" w:hAnchor="text"/>
                        <w:widowControl w:val="0"/>
                        <w:spacing w:line="240" w:lineRule="auto"/>
                        <w:rPr>
                          <w:sz w:val="16"/>
                          <w:szCs w:val="16"/>
                        </w:rPr>
                      </w:pPr>
                      <w:r>
                        <w:rPr>
                          <w:sz w:val="16"/>
                          <w:szCs w:val="16"/>
                        </w:rPr>
                        <w:t>Numeracy</w:t>
                      </w:r>
                    </w:p>
                  </w:tc>
                </w:tr>
                <w:tr w:rsidR="000F20EB" w14:paraId="4F966581" w14:textId="77777777">
                  <w:trPr>
                    <w:jc w:val="center"/>
                  </w:trPr>
                  <w:tc>
                    <w:tcPr>
                      <w:tcW w:w="990" w:type="dxa"/>
                    </w:tcPr>
                    <w:p w14:paraId="205F8997" w14:textId="77777777" w:rsidR="000F20EB" w:rsidRDefault="002E2BB2">
                      <w:pPr>
                        <w:framePr w:hSpace="180" w:vSpace="180" w:wrap="around" w:vAnchor="text" w:hAnchor="text"/>
                        <w:widowControl w:val="0"/>
                        <w:spacing w:line="240" w:lineRule="auto"/>
                        <w:rPr>
                          <w:sz w:val="16"/>
                          <w:szCs w:val="16"/>
                        </w:rPr>
                      </w:pPr>
                      <w:r>
                        <w:rPr>
                          <w:sz w:val="16"/>
                          <w:szCs w:val="16"/>
                        </w:rPr>
                        <w:t>P1</w:t>
                      </w:r>
                    </w:p>
                  </w:tc>
                  <w:tc>
                    <w:tcPr>
                      <w:tcW w:w="1080" w:type="dxa"/>
                    </w:tcPr>
                    <w:p w14:paraId="0C2E2326" w14:textId="77777777" w:rsidR="000F20EB" w:rsidRDefault="002E2BB2">
                      <w:pPr>
                        <w:framePr w:hSpace="180" w:vSpace="180" w:wrap="around" w:vAnchor="text" w:hAnchor="text"/>
                        <w:widowControl w:val="0"/>
                        <w:spacing w:line="240" w:lineRule="auto"/>
                        <w:rPr>
                          <w:sz w:val="16"/>
                          <w:szCs w:val="16"/>
                        </w:rPr>
                      </w:pPr>
                      <w:r>
                        <w:rPr>
                          <w:sz w:val="16"/>
                          <w:szCs w:val="16"/>
                        </w:rPr>
                        <w:t>90%</w:t>
                      </w:r>
                    </w:p>
                  </w:tc>
                  <w:tc>
                    <w:tcPr>
                      <w:tcW w:w="960" w:type="dxa"/>
                    </w:tcPr>
                    <w:p w14:paraId="6107329B" w14:textId="77777777" w:rsidR="000F20EB" w:rsidRDefault="002E2BB2">
                      <w:pPr>
                        <w:framePr w:hSpace="180" w:vSpace="180" w:wrap="around" w:vAnchor="text" w:hAnchor="text"/>
                        <w:widowControl w:val="0"/>
                        <w:spacing w:line="240" w:lineRule="auto"/>
                        <w:rPr>
                          <w:sz w:val="16"/>
                          <w:szCs w:val="16"/>
                        </w:rPr>
                      </w:pPr>
                      <w:r>
                        <w:rPr>
                          <w:sz w:val="16"/>
                          <w:szCs w:val="16"/>
                        </w:rPr>
                        <w:t>100%</w:t>
                      </w:r>
                    </w:p>
                  </w:tc>
                  <w:tc>
                    <w:tcPr>
                      <w:tcW w:w="1620" w:type="dxa"/>
                    </w:tcPr>
                    <w:p w14:paraId="6C2D6149" w14:textId="77777777" w:rsidR="000F20EB" w:rsidRDefault="002E2BB2">
                      <w:pPr>
                        <w:framePr w:hSpace="180" w:vSpace="180" w:wrap="around" w:vAnchor="text" w:hAnchor="text"/>
                        <w:widowControl w:val="0"/>
                        <w:spacing w:line="240" w:lineRule="auto"/>
                        <w:rPr>
                          <w:sz w:val="16"/>
                          <w:szCs w:val="16"/>
                        </w:rPr>
                      </w:pPr>
                      <w:r>
                        <w:rPr>
                          <w:sz w:val="16"/>
                          <w:szCs w:val="16"/>
                        </w:rPr>
                        <w:t>100%</w:t>
                      </w:r>
                    </w:p>
                  </w:tc>
                  <w:tc>
                    <w:tcPr>
                      <w:tcW w:w="1095" w:type="dxa"/>
                    </w:tcPr>
                    <w:p w14:paraId="23FA2CD3" w14:textId="77777777" w:rsidR="000F20EB" w:rsidRDefault="002E2BB2">
                      <w:pPr>
                        <w:framePr w:hSpace="180" w:vSpace="180" w:wrap="around" w:vAnchor="text" w:hAnchor="text"/>
                        <w:widowControl w:val="0"/>
                        <w:spacing w:line="240" w:lineRule="auto"/>
                        <w:rPr>
                          <w:sz w:val="16"/>
                          <w:szCs w:val="16"/>
                        </w:rPr>
                      </w:pPr>
                      <w:r>
                        <w:rPr>
                          <w:sz w:val="16"/>
                          <w:szCs w:val="16"/>
                        </w:rPr>
                        <w:t>90%</w:t>
                      </w:r>
                    </w:p>
                  </w:tc>
                </w:tr>
                <w:tr w:rsidR="000F20EB" w14:paraId="756AA9A8" w14:textId="77777777">
                  <w:trPr>
                    <w:jc w:val="center"/>
                  </w:trPr>
                  <w:tc>
                    <w:tcPr>
                      <w:tcW w:w="990" w:type="dxa"/>
                    </w:tcPr>
                    <w:p w14:paraId="57C0F14F" w14:textId="77777777" w:rsidR="000F20EB" w:rsidRDefault="002E2BB2">
                      <w:pPr>
                        <w:framePr w:hSpace="180" w:vSpace="180" w:wrap="around" w:vAnchor="text" w:hAnchor="text"/>
                        <w:widowControl w:val="0"/>
                        <w:spacing w:line="240" w:lineRule="auto"/>
                        <w:rPr>
                          <w:sz w:val="16"/>
                          <w:szCs w:val="16"/>
                        </w:rPr>
                      </w:pPr>
                      <w:r>
                        <w:rPr>
                          <w:sz w:val="16"/>
                          <w:szCs w:val="16"/>
                        </w:rPr>
                        <w:t>P2</w:t>
                      </w:r>
                    </w:p>
                  </w:tc>
                  <w:tc>
                    <w:tcPr>
                      <w:tcW w:w="1080" w:type="dxa"/>
                    </w:tcPr>
                    <w:p w14:paraId="1FF64FAC" w14:textId="77777777" w:rsidR="000F20EB" w:rsidRDefault="002E2BB2">
                      <w:pPr>
                        <w:framePr w:hSpace="180" w:vSpace="180" w:wrap="around" w:vAnchor="text" w:hAnchor="text"/>
                        <w:widowControl w:val="0"/>
                        <w:spacing w:line="240" w:lineRule="auto"/>
                        <w:rPr>
                          <w:sz w:val="16"/>
                          <w:szCs w:val="16"/>
                        </w:rPr>
                      </w:pPr>
                      <w:r>
                        <w:rPr>
                          <w:sz w:val="16"/>
                          <w:szCs w:val="16"/>
                        </w:rPr>
                        <w:t>70%</w:t>
                      </w:r>
                    </w:p>
                  </w:tc>
                  <w:tc>
                    <w:tcPr>
                      <w:tcW w:w="960" w:type="dxa"/>
                    </w:tcPr>
                    <w:p w14:paraId="475B4982" w14:textId="77777777" w:rsidR="000F20EB" w:rsidRDefault="002E2BB2">
                      <w:pPr>
                        <w:framePr w:hSpace="180" w:vSpace="180" w:wrap="around" w:vAnchor="text" w:hAnchor="text"/>
                        <w:widowControl w:val="0"/>
                        <w:spacing w:line="240" w:lineRule="auto"/>
                        <w:rPr>
                          <w:sz w:val="16"/>
                          <w:szCs w:val="16"/>
                        </w:rPr>
                      </w:pPr>
                      <w:r>
                        <w:rPr>
                          <w:sz w:val="16"/>
                          <w:szCs w:val="16"/>
                        </w:rPr>
                        <w:t>70%</w:t>
                      </w:r>
                    </w:p>
                  </w:tc>
                  <w:tc>
                    <w:tcPr>
                      <w:tcW w:w="1620" w:type="dxa"/>
                    </w:tcPr>
                    <w:p w14:paraId="141FD9C5" w14:textId="77777777" w:rsidR="000F20EB" w:rsidRDefault="002E2BB2">
                      <w:pPr>
                        <w:framePr w:hSpace="180" w:vSpace="180" w:wrap="around" w:vAnchor="text" w:hAnchor="text"/>
                        <w:widowControl w:val="0"/>
                        <w:spacing w:line="240" w:lineRule="auto"/>
                        <w:rPr>
                          <w:sz w:val="16"/>
                          <w:szCs w:val="16"/>
                        </w:rPr>
                      </w:pPr>
                      <w:r>
                        <w:rPr>
                          <w:sz w:val="16"/>
                          <w:szCs w:val="16"/>
                        </w:rPr>
                        <w:t>70%</w:t>
                      </w:r>
                    </w:p>
                  </w:tc>
                  <w:tc>
                    <w:tcPr>
                      <w:tcW w:w="1095" w:type="dxa"/>
                    </w:tcPr>
                    <w:p w14:paraId="24F2105E" w14:textId="77777777" w:rsidR="000F20EB" w:rsidRDefault="002E2BB2">
                      <w:pPr>
                        <w:framePr w:hSpace="180" w:vSpace="180" w:wrap="around" w:vAnchor="text" w:hAnchor="text"/>
                        <w:widowControl w:val="0"/>
                        <w:spacing w:line="240" w:lineRule="auto"/>
                        <w:rPr>
                          <w:sz w:val="16"/>
                          <w:szCs w:val="16"/>
                        </w:rPr>
                      </w:pPr>
                      <w:r>
                        <w:rPr>
                          <w:sz w:val="16"/>
                          <w:szCs w:val="16"/>
                        </w:rPr>
                        <w:t>60%</w:t>
                      </w:r>
                    </w:p>
                  </w:tc>
                </w:tr>
                <w:tr w:rsidR="000F20EB" w14:paraId="7386A9EC" w14:textId="77777777">
                  <w:trPr>
                    <w:jc w:val="center"/>
                  </w:trPr>
                  <w:tc>
                    <w:tcPr>
                      <w:tcW w:w="990" w:type="dxa"/>
                    </w:tcPr>
                    <w:p w14:paraId="17FB8520" w14:textId="77777777" w:rsidR="000F20EB" w:rsidRDefault="002E2BB2">
                      <w:pPr>
                        <w:framePr w:hSpace="180" w:vSpace="180" w:wrap="around" w:vAnchor="text" w:hAnchor="text"/>
                        <w:widowControl w:val="0"/>
                        <w:spacing w:line="240" w:lineRule="auto"/>
                        <w:rPr>
                          <w:sz w:val="16"/>
                          <w:szCs w:val="16"/>
                        </w:rPr>
                      </w:pPr>
                      <w:r>
                        <w:rPr>
                          <w:sz w:val="16"/>
                          <w:szCs w:val="16"/>
                        </w:rPr>
                        <w:t>P3</w:t>
                      </w:r>
                    </w:p>
                  </w:tc>
                  <w:tc>
                    <w:tcPr>
                      <w:tcW w:w="1080" w:type="dxa"/>
                    </w:tcPr>
                    <w:p w14:paraId="272ED01A" w14:textId="77777777" w:rsidR="000F20EB" w:rsidRDefault="002E2BB2">
                      <w:pPr>
                        <w:framePr w:hSpace="180" w:vSpace="180" w:wrap="around" w:vAnchor="text" w:hAnchor="text"/>
                        <w:widowControl w:val="0"/>
                        <w:spacing w:line="240" w:lineRule="auto"/>
                        <w:rPr>
                          <w:sz w:val="16"/>
                          <w:szCs w:val="16"/>
                        </w:rPr>
                      </w:pPr>
                      <w:r>
                        <w:rPr>
                          <w:sz w:val="16"/>
                          <w:szCs w:val="16"/>
                        </w:rPr>
                        <w:t>100%</w:t>
                      </w:r>
                    </w:p>
                  </w:tc>
                  <w:tc>
                    <w:tcPr>
                      <w:tcW w:w="960" w:type="dxa"/>
                    </w:tcPr>
                    <w:p w14:paraId="49F2471E" w14:textId="77777777" w:rsidR="000F20EB" w:rsidRDefault="002E2BB2">
                      <w:pPr>
                        <w:framePr w:hSpace="180" w:vSpace="180" w:wrap="around" w:vAnchor="text" w:hAnchor="text"/>
                        <w:widowControl w:val="0"/>
                        <w:spacing w:line="240" w:lineRule="auto"/>
                        <w:rPr>
                          <w:sz w:val="16"/>
                          <w:szCs w:val="16"/>
                        </w:rPr>
                      </w:pPr>
                      <w:r>
                        <w:rPr>
                          <w:sz w:val="16"/>
                          <w:szCs w:val="16"/>
                        </w:rPr>
                        <w:t>80%</w:t>
                      </w:r>
                    </w:p>
                  </w:tc>
                  <w:tc>
                    <w:tcPr>
                      <w:tcW w:w="1620" w:type="dxa"/>
                    </w:tcPr>
                    <w:p w14:paraId="6E9F2349" w14:textId="77777777" w:rsidR="000F20EB" w:rsidRDefault="002E2BB2">
                      <w:pPr>
                        <w:framePr w:hSpace="180" w:vSpace="180" w:wrap="around" w:vAnchor="text" w:hAnchor="text"/>
                        <w:widowControl w:val="0"/>
                        <w:spacing w:line="240" w:lineRule="auto"/>
                        <w:rPr>
                          <w:sz w:val="16"/>
                          <w:szCs w:val="16"/>
                        </w:rPr>
                      </w:pPr>
                      <w:r>
                        <w:rPr>
                          <w:sz w:val="16"/>
                          <w:szCs w:val="16"/>
                        </w:rPr>
                        <w:t>100%</w:t>
                      </w:r>
                    </w:p>
                  </w:tc>
                  <w:tc>
                    <w:tcPr>
                      <w:tcW w:w="1095" w:type="dxa"/>
                    </w:tcPr>
                    <w:p w14:paraId="6A199C1B" w14:textId="77777777" w:rsidR="000F20EB" w:rsidRDefault="002E2BB2">
                      <w:pPr>
                        <w:framePr w:hSpace="180" w:vSpace="180" w:wrap="around" w:vAnchor="text" w:hAnchor="text"/>
                        <w:widowControl w:val="0"/>
                        <w:spacing w:line="240" w:lineRule="auto"/>
                        <w:rPr>
                          <w:sz w:val="16"/>
                          <w:szCs w:val="16"/>
                        </w:rPr>
                      </w:pPr>
                      <w:r>
                        <w:rPr>
                          <w:sz w:val="16"/>
                          <w:szCs w:val="16"/>
                        </w:rPr>
                        <w:t>80%</w:t>
                      </w:r>
                    </w:p>
                  </w:tc>
                </w:tr>
                <w:tr w:rsidR="000F20EB" w14:paraId="1111023E" w14:textId="77777777">
                  <w:trPr>
                    <w:jc w:val="center"/>
                  </w:trPr>
                  <w:tc>
                    <w:tcPr>
                      <w:tcW w:w="990" w:type="dxa"/>
                    </w:tcPr>
                    <w:p w14:paraId="1031B514" w14:textId="77777777" w:rsidR="000F20EB" w:rsidRDefault="002E2BB2">
                      <w:pPr>
                        <w:framePr w:hSpace="180" w:vSpace="180" w:wrap="around" w:vAnchor="text" w:hAnchor="text"/>
                        <w:widowControl w:val="0"/>
                        <w:spacing w:line="240" w:lineRule="auto"/>
                        <w:rPr>
                          <w:sz w:val="16"/>
                          <w:szCs w:val="16"/>
                        </w:rPr>
                      </w:pPr>
                      <w:r>
                        <w:rPr>
                          <w:sz w:val="16"/>
                          <w:szCs w:val="16"/>
                        </w:rPr>
                        <w:t>P4</w:t>
                      </w:r>
                    </w:p>
                  </w:tc>
                  <w:tc>
                    <w:tcPr>
                      <w:tcW w:w="1080" w:type="dxa"/>
                    </w:tcPr>
                    <w:p w14:paraId="5DFC7AEF" w14:textId="77777777" w:rsidR="000F20EB" w:rsidRDefault="002E2BB2">
                      <w:pPr>
                        <w:framePr w:hSpace="180" w:vSpace="180" w:wrap="around" w:vAnchor="text" w:hAnchor="text"/>
                        <w:widowControl w:val="0"/>
                        <w:spacing w:line="240" w:lineRule="auto"/>
                        <w:rPr>
                          <w:sz w:val="16"/>
                          <w:szCs w:val="16"/>
                        </w:rPr>
                      </w:pPr>
                      <w:r>
                        <w:rPr>
                          <w:sz w:val="16"/>
                          <w:szCs w:val="16"/>
                        </w:rPr>
                        <w:t>75%</w:t>
                      </w:r>
                    </w:p>
                  </w:tc>
                  <w:tc>
                    <w:tcPr>
                      <w:tcW w:w="960" w:type="dxa"/>
                    </w:tcPr>
                    <w:p w14:paraId="3A050548" w14:textId="77777777" w:rsidR="000F20EB" w:rsidRDefault="002E2BB2">
                      <w:pPr>
                        <w:framePr w:hSpace="180" w:vSpace="180" w:wrap="around" w:vAnchor="text" w:hAnchor="text"/>
                        <w:widowControl w:val="0"/>
                        <w:spacing w:line="240" w:lineRule="auto"/>
                        <w:rPr>
                          <w:sz w:val="16"/>
                          <w:szCs w:val="16"/>
                        </w:rPr>
                      </w:pPr>
                      <w:r>
                        <w:rPr>
                          <w:sz w:val="16"/>
                          <w:szCs w:val="16"/>
                        </w:rPr>
                        <w:t>62.5%</w:t>
                      </w:r>
                    </w:p>
                  </w:tc>
                  <w:tc>
                    <w:tcPr>
                      <w:tcW w:w="1620" w:type="dxa"/>
                    </w:tcPr>
                    <w:p w14:paraId="6DA8688E" w14:textId="77777777" w:rsidR="000F20EB" w:rsidRDefault="002E2BB2">
                      <w:pPr>
                        <w:framePr w:hSpace="180" w:vSpace="180" w:wrap="around" w:vAnchor="text" w:hAnchor="text"/>
                        <w:widowControl w:val="0"/>
                        <w:spacing w:line="240" w:lineRule="auto"/>
                        <w:rPr>
                          <w:sz w:val="16"/>
                          <w:szCs w:val="16"/>
                        </w:rPr>
                      </w:pPr>
                      <w:r>
                        <w:rPr>
                          <w:sz w:val="16"/>
                          <w:szCs w:val="16"/>
                        </w:rPr>
                        <w:t>87.5%</w:t>
                      </w:r>
                    </w:p>
                  </w:tc>
                  <w:tc>
                    <w:tcPr>
                      <w:tcW w:w="1095" w:type="dxa"/>
                    </w:tcPr>
                    <w:p w14:paraId="70C001C6" w14:textId="77777777" w:rsidR="000F20EB" w:rsidRDefault="002E2BB2">
                      <w:pPr>
                        <w:framePr w:hSpace="180" w:vSpace="180" w:wrap="around" w:vAnchor="text" w:hAnchor="text"/>
                        <w:widowControl w:val="0"/>
                        <w:spacing w:line="240" w:lineRule="auto"/>
                        <w:rPr>
                          <w:sz w:val="16"/>
                          <w:szCs w:val="16"/>
                        </w:rPr>
                      </w:pPr>
                      <w:r>
                        <w:rPr>
                          <w:sz w:val="16"/>
                          <w:szCs w:val="16"/>
                        </w:rPr>
                        <w:t>62.5%</w:t>
                      </w:r>
                    </w:p>
                  </w:tc>
                </w:tr>
                <w:tr w:rsidR="000F20EB" w14:paraId="1183C157" w14:textId="77777777">
                  <w:trPr>
                    <w:jc w:val="center"/>
                  </w:trPr>
                  <w:tc>
                    <w:tcPr>
                      <w:tcW w:w="990" w:type="dxa"/>
                    </w:tcPr>
                    <w:p w14:paraId="548FBAFF" w14:textId="77777777" w:rsidR="000F20EB" w:rsidRDefault="002E2BB2">
                      <w:pPr>
                        <w:framePr w:hSpace="180" w:vSpace="180" w:wrap="around" w:vAnchor="text" w:hAnchor="text"/>
                        <w:widowControl w:val="0"/>
                        <w:spacing w:line="240" w:lineRule="auto"/>
                        <w:rPr>
                          <w:sz w:val="16"/>
                          <w:szCs w:val="16"/>
                        </w:rPr>
                      </w:pPr>
                      <w:r>
                        <w:rPr>
                          <w:sz w:val="16"/>
                          <w:szCs w:val="16"/>
                        </w:rPr>
                        <w:t>P5</w:t>
                      </w:r>
                    </w:p>
                  </w:tc>
                  <w:tc>
                    <w:tcPr>
                      <w:tcW w:w="1080" w:type="dxa"/>
                    </w:tcPr>
                    <w:p w14:paraId="2905A480" w14:textId="77777777" w:rsidR="000F20EB" w:rsidRDefault="002E2BB2">
                      <w:pPr>
                        <w:framePr w:hSpace="180" w:vSpace="180" w:wrap="around" w:vAnchor="text" w:hAnchor="text"/>
                        <w:widowControl w:val="0"/>
                        <w:spacing w:line="240" w:lineRule="auto"/>
                        <w:rPr>
                          <w:sz w:val="16"/>
                          <w:szCs w:val="16"/>
                        </w:rPr>
                      </w:pPr>
                      <w:r>
                        <w:rPr>
                          <w:sz w:val="16"/>
                          <w:szCs w:val="16"/>
                        </w:rPr>
                        <w:t>91%</w:t>
                      </w:r>
                    </w:p>
                  </w:tc>
                  <w:tc>
                    <w:tcPr>
                      <w:tcW w:w="960" w:type="dxa"/>
                    </w:tcPr>
                    <w:p w14:paraId="58849080" w14:textId="77777777" w:rsidR="000F20EB" w:rsidRDefault="002E2BB2">
                      <w:pPr>
                        <w:framePr w:hSpace="180" w:vSpace="180" w:wrap="around" w:vAnchor="text" w:hAnchor="text"/>
                        <w:widowControl w:val="0"/>
                        <w:spacing w:line="240" w:lineRule="auto"/>
                        <w:rPr>
                          <w:sz w:val="16"/>
                          <w:szCs w:val="16"/>
                        </w:rPr>
                      </w:pPr>
                      <w:r>
                        <w:rPr>
                          <w:sz w:val="16"/>
                          <w:szCs w:val="16"/>
                        </w:rPr>
                        <w:t>73%</w:t>
                      </w:r>
                    </w:p>
                  </w:tc>
                  <w:tc>
                    <w:tcPr>
                      <w:tcW w:w="1620" w:type="dxa"/>
                    </w:tcPr>
                    <w:p w14:paraId="70A85BB5" w14:textId="77777777" w:rsidR="000F20EB" w:rsidRDefault="002E2BB2">
                      <w:pPr>
                        <w:framePr w:hSpace="180" w:vSpace="180" w:wrap="around" w:vAnchor="text" w:hAnchor="text"/>
                        <w:widowControl w:val="0"/>
                        <w:spacing w:line="240" w:lineRule="auto"/>
                        <w:rPr>
                          <w:sz w:val="16"/>
                          <w:szCs w:val="16"/>
                        </w:rPr>
                      </w:pPr>
                      <w:r>
                        <w:rPr>
                          <w:sz w:val="16"/>
                          <w:szCs w:val="16"/>
                        </w:rPr>
                        <w:t>100%</w:t>
                      </w:r>
                    </w:p>
                  </w:tc>
                  <w:tc>
                    <w:tcPr>
                      <w:tcW w:w="1095" w:type="dxa"/>
                    </w:tcPr>
                    <w:p w14:paraId="05D32D76" w14:textId="77777777" w:rsidR="000F20EB" w:rsidRDefault="002E2BB2">
                      <w:pPr>
                        <w:framePr w:hSpace="180" w:vSpace="180" w:wrap="around" w:vAnchor="text" w:hAnchor="text"/>
                        <w:widowControl w:val="0"/>
                        <w:spacing w:line="240" w:lineRule="auto"/>
                        <w:rPr>
                          <w:sz w:val="16"/>
                          <w:szCs w:val="16"/>
                        </w:rPr>
                      </w:pPr>
                      <w:r>
                        <w:rPr>
                          <w:sz w:val="16"/>
                          <w:szCs w:val="16"/>
                        </w:rPr>
                        <w:t>91%</w:t>
                      </w:r>
                    </w:p>
                  </w:tc>
                </w:tr>
                <w:tr w:rsidR="000F20EB" w14:paraId="551BE032" w14:textId="77777777">
                  <w:trPr>
                    <w:jc w:val="center"/>
                  </w:trPr>
                  <w:tc>
                    <w:tcPr>
                      <w:tcW w:w="990" w:type="dxa"/>
                    </w:tcPr>
                    <w:p w14:paraId="069CE64C" w14:textId="77777777" w:rsidR="000F20EB" w:rsidRDefault="002E2BB2">
                      <w:pPr>
                        <w:framePr w:hSpace="180" w:vSpace="180" w:wrap="around" w:vAnchor="text" w:hAnchor="text"/>
                        <w:widowControl w:val="0"/>
                        <w:spacing w:line="240" w:lineRule="auto"/>
                        <w:rPr>
                          <w:sz w:val="16"/>
                          <w:szCs w:val="16"/>
                        </w:rPr>
                      </w:pPr>
                      <w:r>
                        <w:rPr>
                          <w:sz w:val="16"/>
                          <w:szCs w:val="16"/>
                        </w:rPr>
                        <w:t>P6</w:t>
                      </w:r>
                    </w:p>
                  </w:tc>
                  <w:tc>
                    <w:tcPr>
                      <w:tcW w:w="1080" w:type="dxa"/>
                    </w:tcPr>
                    <w:p w14:paraId="4C3BB438" w14:textId="77777777" w:rsidR="000F20EB" w:rsidRDefault="002E2BB2">
                      <w:pPr>
                        <w:framePr w:hSpace="180" w:vSpace="180" w:wrap="around" w:vAnchor="text" w:hAnchor="text"/>
                        <w:widowControl w:val="0"/>
                        <w:spacing w:line="240" w:lineRule="auto"/>
                        <w:rPr>
                          <w:sz w:val="16"/>
                          <w:szCs w:val="16"/>
                        </w:rPr>
                      </w:pPr>
                      <w:r>
                        <w:rPr>
                          <w:sz w:val="16"/>
                          <w:szCs w:val="16"/>
                        </w:rPr>
                        <w:t>71%</w:t>
                      </w:r>
                    </w:p>
                  </w:tc>
                  <w:tc>
                    <w:tcPr>
                      <w:tcW w:w="960" w:type="dxa"/>
                    </w:tcPr>
                    <w:p w14:paraId="297DB48B" w14:textId="77777777" w:rsidR="000F20EB" w:rsidRDefault="002E2BB2">
                      <w:pPr>
                        <w:framePr w:hSpace="180" w:vSpace="180" w:wrap="around" w:vAnchor="text" w:hAnchor="text"/>
                        <w:widowControl w:val="0"/>
                        <w:spacing w:line="240" w:lineRule="auto"/>
                        <w:rPr>
                          <w:sz w:val="16"/>
                          <w:szCs w:val="16"/>
                        </w:rPr>
                      </w:pPr>
                      <w:r>
                        <w:rPr>
                          <w:sz w:val="16"/>
                          <w:szCs w:val="16"/>
                        </w:rPr>
                        <w:t>71%</w:t>
                      </w:r>
                    </w:p>
                  </w:tc>
                  <w:tc>
                    <w:tcPr>
                      <w:tcW w:w="1620" w:type="dxa"/>
                    </w:tcPr>
                    <w:p w14:paraId="5683F70F" w14:textId="77777777" w:rsidR="000F20EB" w:rsidRDefault="002E2BB2">
                      <w:pPr>
                        <w:framePr w:hSpace="180" w:vSpace="180" w:wrap="around" w:vAnchor="text" w:hAnchor="text"/>
                        <w:widowControl w:val="0"/>
                        <w:spacing w:line="240" w:lineRule="auto"/>
                        <w:rPr>
                          <w:sz w:val="16"/>
                          <w:szCs w:val="16"/>
                        </w:rPr>
                      </w:pPr>
                      <w:r>
                        <w:rPr>
                          <w:sz w:val="16"/>
                          <w:szCs w:val="16"/>
                        </w:rPr>
                        <w:t>71%</w:t>
                      </w:r>
                    </w:p>
                  </w:tc>
                  <w:tc>
                    <w:tcPr>
                      <w:tcW w:w="1095" w:type="dxa"/>
                    </w:tcPr>
                    <w:p w14:paraId="1FA9EDFE" w14:textId="77777777" w:rsidR="000F20EB" w:rsidRDefault="002E2BB2">
                      <w:pPr>
                        <w:framePr w:hSpace="180" w:vSpace="180" w:wrap="around" w:vAnchor="text" w:hAnchor="text"/>
                        <w:widowControl w:val="0"/>
                        <w:spacing w:line="240" w:lineRule="auto"/>
                        <w:rPr>
                          <w:sz w:val="16"/>
                          <w:szCs w:val="16"/>
                        </w:rPr>
                      </w:pPr>
                      <w:r>
                        <w:rPr>
                          <w:sz w:val="16"/>
                          <w:szCs w:val="16"/>
                        </w:rPr>
                        <w:t>71%</w:t>
                      </w:r>
                    </w:p>
                  </w:tc>
                </w:tr>
                <w:tr w:rsidR="000F20EB" w14:paraId="48EEF208" w14:textId="77777777">
                  <w:trPr>
                    <w:jc w:val="center"/>
                  </w:trPr>
                  <w:tc>
                    <w:tcPr>
                      <w:tcW w:w="990" w:type="dxa"/>
                    </w:tcPr>
                    <w:p w14:paraId="2974BD79" w14:textId="77777777" w:rsidR="000F20EB" w:rsidRDefault="002E2BB2">
                      <w:pPr>
                        <w:framePr w:hSpace="180" w:vSpace="180" w:wrap="around" w:vAnchor="text" w:hAnchor="text"/>
                        <w:widowControl w:val="0"/>
                        <w:spacing w:line="240" w:lineRule="auto"/>
                        <w:rPr>
                          <w:sz w:val="16"/>
                          <w:szCs w:val="16"/>
                        </w:rPr>
                      </w:pPr>
                      <w:r>
                        <w:rPr>
                          <w:sz w:val="16"/>
                          <w:szCs w:val="16"/>
                        </w:rPr>
                        <w:lastRenderedPageBreak/>
                        <w:t>P7</w:t>
                      </w:r>
                    </w:p>
                  </w:tc>
                  <w:tc>
                    <w:tcPr>
                      <w:tcW w:w="1080" w:type="dxa"/>
                    </w:tcPr>
                    <w:p w14:paraId="7E95A697" w14:textId="77777777" w:rsidR="000F20EB" w:rsidRDefault="002E2BB2">
                      <w:pPr>
                        <w:framePr w:hSpace="180" w:vSpace="180" w:wrap="around" w:vAnchor="text" w:hAnchor="text"/>
                        <w:widowControl w:val="0"/>
                        <w:spacing w:line="240" w:lineRule="auto"/>
                        <w:rPr>
                          <w:sz w:val="16"/>
                          <w:szCs w:val="16"/>
                        </w:rPr>
                      </w:pPr>
                      <w:r>
                        <w:rPr>
                          <w:sz w:val="16"/>
                          <w:szCs w:val="16"/>
                        </w:rPr>
                        <w:t>86%</w:t>
                      </w:r>
                    </w:p>
                  </w:tc>
                  <w:tc>
                    <w:tcPr>
                      <w:tcW w:w="960" w:type="dxa"/>
                    </w:tcPr>
                    <w:p w14:paraId="4E24F4AD" w14:textId="77777777" w:rsidR="000F20EB" w:rsidRDefault="002E2BB2">
                      <w:pPr>
                        <w:framePr w:hSpace="180" w:vSpace="180" w:wrap="around" w:vAnchor="text" w:hAnchor="text"/>
                        <w:widowControl w:val="0"/>
                        <w:spacing w:line="240" w:lineRule="auto"/>
                        <w:rPr>
                          <w:sz w:val="16"/>
                          <w:szCs w:val="16"/>
                        </w:rPr>
                      </w:pPr>
                      <w:r>
                        <w:rPr>
                          <w:sz w:val="16"/>
                          <w:szCs w:val="16"/>
                        </w:rPr>
                        <w:t>86%</w:t>
                      </w:r>
                    </w:p>
                  </w:tc>
                  <w:tc>
                    <w:tcPr>
                      <w:tcW w:w="1620" w:type="dxa"/>
                    </w:tcPr>
                    <w:p w14:paraId="7ACB7A91" w14:textId="77777777" w:rsidR="000F20EB" w:rsidRDefault="002E2BB2">
                      <w:pPr>
                        <w:framePr w:hSpace="180" w:vSpace="180" w:wrap="around" w:vAnchor="text" w:hAnchor="text"/>
                        <w:widowControl w:val="0"/>
                        <w:spacing w:line="240" w:lineRule="auto"/>
                        <w:rPr>
                          <w:sz w:val="16"/>
                          <w:szCs w:val="16"/>
                        </w:rPr>
                      </w:pPr>
                      <w:r>
                        <w:rPr>
                          <w:sz w:val="16"/>
                          <w:szCs w:val="16"/>
                        </w:rPr>
                        <w:t>100%</w:t>
                      </w:r>
                    </w:p>
                  </w:tc>
                  <w:tc>
                    <w:tcPr>
                      <w:tcW w:w="1095" w:type="dxa"/>
                    </w:tcPr>
                    <w:p w14:paraId="6B2A1831" w14:textId="77777777" w:rsidR="000F20EB" w:rsidRDefault="002E2BB2">
                      <w:pPr>
                        <w:framePr w:hSpace="180" w:vSpace="180" w:wrap="around" w:vAnchor="text" w:hAnchor="text"/>
                        <w:widowControl w:val="0"/>
                        <w:spacing w:line="240" w:lineRule="auto"/>
                        <w:rPr>
                          <w:sz w:val="16"/>
                          <w:szCs w:val="16"/>
                        </w:rPr>
                      </w:pPr>
                      <w:r>
                        <w:rPr>
                          <w:sz w:val="16"/>
                          <w:szCs w:val="16"/>
                        </w:rPr>
                        <w:t>86%</w:t>
                      </w:r>
                    </w:p>
                  </w:tc>
                </w:tr>
              </w:tbl>
            </w:sdtContent>
          </w:sdt>
          <w:p w14:paraId="11C7FBD8" w14:textId="77777777" w:rsidR="000F20EB" w:rsidRDefault="002E2BB2">
            <w:pPr>
              <w:rPr>
                <w:sz w:val="20"/>
                <w:szCs w:val="20"/>
              </w:rPr>
            </w:pPr>
            <w:r>
              <w:rPr>
                <w:sz w:val="20"/>
                <w:szCs w:val="20"/>
              </w:rPr>
              <w:t>Due to the SIMD profile of our school, when considering poverty-related attainment gaps we compare our targeted group of learners (including those in Quintile 1, those entitled to free school meals, our care experienced learners and others whom</w:t>
            </w:r>
            <w:r>
              <w:rPr>
                <w:sz w:val="20"/>
                <w:szCs w:val="20"/>
              </w:rPr>
              <w:t xml:space="preserve"> we know are impacted by poverty) with the national figures for Quintile 5.</w:t>
            </w:r>
          </w:p>
          <w:p w14:paraId="40154644" w14:textId="77777777" w:rsidR="000F20EB" w:rsidRDefault="000F20EB">
            <w:pPr>
              <w:ind w:left="140" w:right="140"/>
            </w:pPr>
          </w:p>
          <w:p w14:paraId="0B356C68" w14:textId="77777777" w:rsidR="000F20EB" w:rsidRDefault="002E2BB2">
            <w:pPr>
              <w:ind w:right="140"/>
              <w:rPr>
                <w:sz w:val="20"/>
                <w:szCs w:val="20"/>
              </w:rPr>
            </w:pPr>
            <w:r>
              <w:rPr>
                <w:sz w:val="20"/>
                <w:szCs w:val="20"/>
              </w:rPr>
              <w:t xml:space="preserve">Analysis of our data demonstrates the following:  </w:t>
            </w:r>
          </w:p>
          <w:p w14:paraId="1B8C931F" w14:textId="77777777" w:rsidR="000F20EB" w:rsidRDefault="000F20EB">
            <w:pPr>
              <w:ind w:right="140"/>
              <w:rPr>
                <w:sz w:val="20"/>
                <w:szCs w:val="20"/>
              </w:rPr>
            </w:pPr>
          </w:p>
          <w:p w14:paraId="7AF4CEB8" w14:textId="77777777" w:rsidR="000F20EB" w:rsidRDefault="002E2BB2">
            <w:pPr>
              <w:numPr>
                <w:ilvl w:val="0"/>
                <w:numId w:val="2"/>
              </w:numPr>
              <w:ind w:right="140"/>
              <w:rPr>
                <w:sz w:val="20"/>
                <w:szCs w:val="20"/>
              </w:rPr>
            </w:pPr>
            <w:r>
              <w:rPr>
                <w:sz w:val="20"/>
                <w:szCs w:val="20"/>
              </w:rPr>
              <w:t>All Q1 Primary 1 learners are exceeding the national Q1 figures for Writing, Listening and Talking, Numeracy and Reading.</w:t>
            </w:r>
          </w:p>
          <w:p w14:paraId="1CAB6D78" w14:textId="77777777" w:rsidR="000F20EB" w:rsidRDefault="002E2BB2">
            <w:pPr>
              <w:numPr>
                <w:ilvl w:val="0"/>
                <w:numId w:val="2"/>
              </w:numPr>
              <w:ind w:right="140"/>
              <w:rPr>
                <w:sz w:val="20"/>
                <w:szCs w:val="20"/>
              </w:rPr>
            </w:pPr>
            <w:r>
              <w:rPr>
                <w:sz w:val="20"/>
                <w:szCs w:val="20"/>
              </w:rPr>
              <w:t>90% of Q1 Primary 5 learners achieved First Level in Reading, Listening and Talking and Numeracy but only 73% in Writing.</w:t>
            </w:r>
          </w:p>
          <w:p w14:paraId="77935B8C" w14:textId="77777777" w:rsidR="000F20EB" w:rsidRDefault="002E2BB2">
            <w:pPr>
              <w:numPr>
                <w:ilvl w:val="0"/>
                <w:numId w:val="2"/>
              </w:numPr>
              <w:ind w:right="140"/>
              <w:rPr>
                <w:sz w:val="20"/>
                <w:szCs w:val="20"/>
              </w:rPr>
            </w:pPr>
            <w:r>
              <w:rPr>
                <w:sz w:val="20"/>
                <w:szCs w:val="20"/>
              </w:rPr>
              <w:t>P3, P5, P6 &amp;</w:t>
            </w:r>
            <w:r>
              <w:rPr>
                <w:sz w:val="20"/>
                <w:szCs w:val="20"/>
              </w:rPr>
              <w:t xml:space="preserve"> P7 will be the focus for targeted interventions in writing in session 2024-25. </w:t>
            </w:r>
          </w:p>
          <w:p w14:paraId="6B2C0A95" w14:textId="77777777" w:rsidR="000F20EB" w:rsidRDefault="002E2BB2">
            <w:pPr>
              <w:numPr>
                <w:ilvl w:val="0"/>
                <w:numId w:val="2"/>
              </w:numPr>
              <w:ind w:right="140"/>
              <w:rPr>
                <w:sz w:val="20"/>
                <w:szCs w:val="20"/>
              </w:rPr>
            </w:pPr>
            <w:r>
              <w:rPr>
                <w:sz w:val="20"/>
                <w:szCs w:val="20"/>
              </w:rPr>
              <w:t>We will use the CYPIC writing intervention model in these classes and a targeted therapy partner model which will focus on fine motor skills will be used in addition to the sp</w:t>
            </w:r>
            <w:r>
              <w:rPr>
                <w:sz w:val="20"/>
                <w:szCs w:val="20"/>
              </w:rPr>
              <w:t xml:space="preserve">ecific writing intervention. </w:t>
            </w:r>
          </w:p>
          <w:p w14:paraId="139EF8BB" w14:textId="77777777" w:rsidR="000F20EB" w:rsidRDefault="002E2BB2">
            <w:pPr>
              <w:numPr>
                <w:ilvl w:val="0"/>
                <w:numId w:val="2"/>
              </w:numPr>
              <w:ind w:right="140"/>
              <w:rPr>
                <w:sz w:val="20"/>
                <w:szCs w:val="20"/>
              </w:rPr>
            </w:pPr>
            <w:r>
              <w:rPr>
                <w:sz w:val="20"/>
                <w:szCs w:val="20"/>
              </w:rPr>
              <w:t>Q1 attainment in numeracy in P2, P4 &amp; P6 is 60%, 62.5% and 71%</w:t>
            </w:r>
          </w:p>
          <w:p w14:paraId="54B8E87C" w14:textId="77777777" w:rsidR="000F20EB" w:rsidRDefault="002E2BB2">
            <w:pPr>
              <w:numPr>
                <w:ilvl w:val="0"/>
                <w:numId w:val="2"/>
              </w:numPr>
              <w:ind w:right="140"/>
              <w:rPr>
                <w:sz w:val="20"/>
                <w:szCs w:val="20"/>
              </w:rPr>
            </w:pPr>
            <w:r>
              <w:rPr>
                <w:sz w:val="20"/>
                <w:szCs w:val="20"/>
              </w:rPr>
              <w:t>Targeted numeracy support will be put in place in P3, P5 &amp; P7 in session 2024-25</w:t>
            </w:r>
          </w:p>
          <w:p w14:paraId="54BBD2FC" w14:textId="77777777" w:rsidR="000F20EB" w:rsidRDefault="002E2BB2">
            <w:pPr>
              <w:numPr>
                <w:ilvl w:val="0"/>
                <w:numId w:val="1"/>
              </w:numPr>
              <w:ind w:right="140"/>
              <w:rPr>
                <w:sz w:val="20"/>
                <w:szCs w:val="20"/>
              </w:rPr>
            </w:pPr>
            <w:r>
              <w:rPr>
                <w:sz w:val="20"/>
                <w:szCs w:val="20"/>
              </w:rPr>
              <w:t>We have very few pupils in Q5 therefore our gap is based on the national Q5 figure</w:t>
            </w:r>
            <w:r>
              <w:rPr>
                <w:sz w:val="20"/>
                <w:szCs w:val="20"/>
              </w:rPr>
              <w:t xml:space="preserve">s. The limitations of this are no national figures for comparison outside P1, P4 and P7. </w:t>
            </w:r>
          </w:p>
          <w:p w14:paraId="4499E3A4" w14:textId="77777777" w:rsidR="000F20EB" w:rsidRDefault="000F20EB">
            <w:pPr>
              <w:ind w:right="140"/>
              <w:rPr>
                <w:sz w:val="20"/>
                <w:szCs w:val="20"/>
              </w:rPr>
            </w:pPr>
          </w:p>
          <w:p w14:paraId="5EBED91A" w14:textId="77777777" w:rsidR="000F20EB" w:rsidRDefault="002E2BB2">
            <w:pPr>
              <w:ind w:right="140"/>
              <w:rPr>
                <w:sz w:val="20"/>
                <w:szCs w:val="20"/>
              </w:rPr>
            </w:pPr>
            <w:r>
              <w:rPr>
                <w:sz w:val="20"/>
                <w:szCs w:val="20"/>
              </w:rPr>
              <w:t xml:space="preserve">The targeted groups in session 2024-25 will focus on writing for Q1 pupils in P3, P5, P6 &amp; P7.  Numeracy targeted groups will be the focus for Q1 learners in P3, P5 </w:t>
            </w:r>
            <w:r>
              <w:rPr>
                <w:sz w:val="20"/>
                <w:szCs w:val="20"/>
              </w:rPr>
              <w:t>&amp; P</w:t>
            </w:r>
            <w:proofErr w:type="gramStart"/>
            <w:r>
              <w:rPr>
                <w:sz w:val="20"/>
                <w:szCs w:val="20"/>
              </w:rPr>
              <w:t>7  Our</w:t>
            </w:r>
            <w:proofErr w:type="gramEnd"/>
            <w:r>
              <w:rPr>
                <w:sz w:val="20"/>
                <w:szCs w:val="20"/>
              </w:rPr>
              <w:t xml:space="preserve"> data analysis highlights a decrease in attainment at these stages through the levels. </w:t>
            </w:r>
          </w:p>
          <w:p w14:paraId="5A9BA212" w14:textId="77777777" w:rsidR="000F20EB" w:rsidRDefault="000F20EB">
            <w:pPr>
              <w:ind w:right="140"/>
              <w:rPr>
                <w:sz w:val="20"/>
                <w:szCs w:val="20"/>
              </w:rPr>
            </w:pPr>
          </w:p>
          <w:p w14:paraId="1FA56E66" w14:textId="77777777" w:rsidR="000F20EB" w:rsidRDefault="002E2BB2">
            <w:pPr>
              <w:ind w:right="140"/>
              <w:rPr>
                <w:sz w:val="20"/>
                <w:szCs w:val="20"/>
              </w:rPr>
            </w:pPr>
            <w:r>
              <w:rPr>
                <w:sz w:val="20"/>
                <w:szCs w:val="20"/>
              </w:rPr>
              <w:t>We will continue to offer targeted small group supports with a specific focus on addressing the social and emotional needs of our learners in the target group</w:t>
            </w:r>
            <w:r>
              <w:rPr>
                <w:sz w:val="20"/>
                <w:szCs w:val="20"/>
              </w:rPr>
              <w:t>.  This will be reviewed on a termly basis.</w:t>
            </w:r>
          </w:p>
          <w:p w14:paraId="2888FB13" w14:textId="77777777" w:rsidR="000F20EB" w:rsidRDefault="002E2BB2">
            <w:pPr>
              <w:ind w:right="140"/>
            </w:pPr>
            <w:r>
              <w:t xml:space="preserve">                                               </w:t>
            </w:r>
          </w:p>
        </w:tc>
      </w:tr>
      <w:tr w:rsidR="000F20EB" w14:paraId="6ACD77A4" w14:textId="77777777">
        <w:trPr>
          <w:trHeight w:val="12286"/>
        </w:trPr>
        <w:tc>
          <w:tcPr>
            <w:tcW w:w="13890" w:type="dxa"/>
            <w:tcBorders>
              <w:top w:val="single" w:sz="8" w:space="0" w:color="000000"/>
              <w:left w:val="single" w:sz="8" w:space="0" w:color="000000"/>
              <w:bottom w:val="single" w:sz="8" w:space="0" w:color="000000"/>
              <w:right w:val="single" w:sz="8" w:space="0" w:color="000000"/>
            </w:tcBorders>
            <w:shd w:val="clear" w:color="auto" w:fill="FFFFFF"/>
          </w:tcPr>
          <w:p w14:paraId="7B3C8930" w14:textId="77777777" w:rsidR="000F20EB" w:rsidRDefault="002E2BB2">
            <w:pPr>
              <w:ind w:right="140"/>
              <w:rPr>
                <w:b/>
              </w:rPr>
            </w:pPr>
            <w:r>
              <w:rPr>
                <w:b/>
              </w:rPr>
              <w:lastRenderedPageBreak/>
              <w:t>Rationale</w:t>
            </w:r>
          </w:p>
          <w:p w14:paraId="5C67EF5F" w14:textId="77777777" w:rsidR="000F20EB" w:rsidRDefault="002E2BB2">
            <w:pPr>
              <w:ind w:left="140" w:right="140"/>
            </w:pPr>
            <w:r>
              <w:t xml:space="preserve"> </w:t>
            </w:r>
          </w:p>
          <w:p w14:paraId="1A56EFF2" w14:textId="77777777" w:rsidR="000F20EB" w:rsidRDefault="002E2BB2">
            <w:pPr>
              <w:ind w:right="140"/>
            </w:pPr>
            <w:r>
              <w:t xml:space="preserve">Based on our contextual analysis we will be using our PEF to improve the attainment of targeted groups in numeracy, writing and social and emotional wellbeing. </w:t>
            </w:r>
          </w:p>
          <w:p w14:paraId="143FE7FD" w14:textId="77777777" w:rsidR="000F20EB" w:rsidRDefault="000F20EB">
            <w:pPr>
              <w:ind w:right="140"/>
            </w:pPr>
          </w:p>
          <w:p w14:paraId="72B39CEA" w14:textId="77777777" w:rsidR="000F20EB" w:rsidRDefault="002E2BB2">
            <w:pPr>
              <w:ind w:right="140"/>
              <w:rPr>
                <w:sz w:val="20"/>
                <w:szCs w:val="20"/>
                <w:highlight w:val="white"/>
              </w:rPr>
            </w:pPr>
            <w:r>
              <w:rPr>
                <w:sz w:val="20"/>
                <w:szCs w:val="20"/>
                <w:highlight w:val="white"/>
              </w:rPr>
              <w:t>Targeted support for literacy and numeracy is also an Intervention for Equity as skills in lit</w:t>
            </w:r>
            <w:r>
              <w:rPr>
                <w:sz w:val="20"/>
                <w:szCs w:val="20"/>
                <w:highlight w:val="white"/>
              </w:rPr>
              <w:t>eracy and numeracy are key to accessing all other learning, achievement and employment. Schools should have a focus on high quality pedagogy to improve attainment in these areas for the most vulnerable children.</w:t>
            </w:r>
          </w:p>
          <w:p w14:paraId="6F97AC33" w14:textId="77777777" w:rsidR="000F20EB" w:rsidRDefault="000F20EB">
            <w:pPr>
              <w:ind w:right="140"/>
              <w:rPr>
                <w:sz w:val="20"/>
                <w:szCs w:val="20"/>
                <w:highlight w:val="white"/>
              </w:rPr>
            </w:pPr>
          </w:p>
          <w:p w14:paraId="28B60FA6" w14:textId="77777777" w:rsidR="000F20EB" w:rsidRDefault="002E2BB2">
            <w:pPr>
              <w:ind w:right="140"/>
              <w:rPr>
                <w:sz w:val="20"/>
                <w:szCs w:val="20"/>
                <w:highlight w:val="white"/>
              </w:rPr>
            </w:pPr>
            <w:r>
              <w:rPr>
                <w:sz w:val="20"/>
                <w:szCs w:val="20"/>
              </w:rPr>
              <w:t xml:space="preserve">Social and emotional </w:t>
            </w:r>
            <w:proofErr w:type="spellStart"/>
            <w:r>
              <w:rPr>
                <w:sz w:val="20"/>
                <w:szCs w:val="20"/>
              </w:rPr>
              <w:t>well being</w:t>
            </w:r>
            <w:proofErr w:type="spellEnd"/>
            <w:r>
              <w:rPr>
                <w:sz w:val="20"/>
                <w:szCs w:val="20"/>
              </w:rPr>
              <w:t xml:space="preserve"> is cited as</w:t>
            </w:r>
            <w:r>
              <w:rPr>
                <w:sz w:val="20"/>
                <w:szCs w:val="20"/>
              </w:rPr>
              <w:t xml:space="preserve"> an Intervention for Equity, Education Scotland. </w:t>
            </w:r>
            <w:r>
              <w:rPr>
                <w:sz w:val="20"/>
                <w:szCs w:val="20"/>
                <w:highlight w:val="white"/>
              </w:rPr>
              <w:t xml:space="preserve">Social and emotional wellbeing is essential to ensure our children are included, engaged and involved. Promoting positive relationships and behaviour is essential in supporting children's and young people's </w:t>
            </w:r>
            <w:r>
              <w:rPr>
                <w:sz w:val="20"/>
                <w:szCs w:val="20"/>
                <w:highlight w:val="white"/>
              </w:rPr>
              <w:t xml:space="preserve">health and wellbeing throughout their lives. </w:t>
            </w:r>
            <w:proofErr w:type="gramStart"/>
            <w:r>
              <w:rPr>
                <w:sz w:val="20"/>
                <w:szCs w:val="20"/>
                <w:highlight w:val="white"/>
              </w:rPr>
              <w:t>Furthermore</w:t>
            </w:r>
            <w:proofErr w:type="gramEnd"/>
            <w:r>
              <w:rPr>
                <w:sz w:val="20"/>
                <w:szCs w:val="20"/>
                <w:highlight w:val="white"/>
              </w:rPr>
              <w:t xml:space="preserve"> </w:t>
            </w:r>
            <w:r>
              <w:rPr>
                <w:sz w:val="20"/>
                <w:szCs w:val="20"/>
              </w:rPr>
              <w:t>children with higher levels of emotional, behavioural, social and school wellbeing, on average, have higher levels of academic achievement and are more engaged in school, both concurrently and in lat</w:t>
            </w:r>
            <w:r>
              <w:rPr>
                <w:sz w:val="20"/>
                <w:szCs w:val="20"/>
              </w:rPr>
              <w:t>er years (Robinson, 2013).</w:t>
            </w:r>
          </w:p>
          <w:p w14:paraId="6B83152A" w14:textId="77777777" w:rsidR="000F20EB" w:rsidRDefault="000F20EB">
            <w:pPr>
              <w:ind w:right="140"/>
              <w:rPr>
                <w:sz w:val="20"/>
                <w:szCs w:val="20"/>
                <w:highlight w:val="white"/>
              </w:rPr>
            </w:pPr>
          </w:p>
          <w:p w14:paraId="1ECFDF80" w14:textId="77777777" w:rsidR="000F20EB" w:rsidRDefault="002E2BB2">
            <w:pPr>
              <w:ind w:right="140"/>
              <w:rPr>
                <w:sz w:val="20"/>
                <w:szCs w:val="20"/>
                <w:highlight w:val="white"/>
              </w:rPr>
            </w:pPr>
            <w:r>
              <w:rPr>
                <w:sz w:val="20"/>
                <w:szCs w:val="20"/>
                <w:highlight w:val="white"/>
              </w:rPr>
              <w:t xml:space="preserve">Research tells us that fine motor skills interventions have a significant effect on younger children as well as those at the handwriting stage. Studies which took place in an area of high social deprivation revealed improvement </w:t>
            </w:r>
            <w:r>
              <w:rPr>
                <w:sz w:val="20"/>
                <w:szCs w:val="20"/>
                <w:highlight w:val="white"/>
              </w:rPr>
              <w:t xml:space="preserve">in different areas for almost all children. </w:t>
            </w:r>
          </w:p>
          <w:p w14:paraId="27BDF310" w14:textId="77777777" w:rsidR="000F20EB" w:rsidRDefault="000F20EB">
            <w:pPr>
              <w:ind w:right="140"/>
              <w:rPr>
                <w:sz w:val="20"/>
                <w:szCs w:val="20"/>
                <w:highlight w:val="white"/>
              </w:rPr>
            </w:pPr>
          </w:p>
          <w:p w14:paraId="3D22842E" w14:textId="77777777" w:rsidR="000F20EB" w:rsidRDefault="002E2BB2">
            <w:pPr>
              <w:ind w:right="140"/>
              <w:rPr>
                <w:sz w:val="20"/>
                <w:szCs w:val="20"/>
                <w:highlight w:val="white"/>
              </w:rPr>
            </w:pPr>
            <w:r>
              <w:rPr>
                <w:sz w:val="20"/>
                <w:szCs w:val="20"/>
                <w:highlight w:val="white"/>
              </w:rPr>
              <w:t>Average attendance for our Q1 learners in session 2023-24 was 92.2% which is in line with our local authority stretch aim for this session.  Research has found that poor attendance at school is linked to poor a</w:t>
            </w:r>
            <w:r>
              <w:rPr>
                <w:sz w:val="20"/>
                <w:szCs w:val="20"/>
                <w:highlight w:val="white"/>
              </w:rPr>
              <w:t>cademic attainment across all stages (</w:t>
            </w:r>
            <w:proofErr w:type="spellStart"/>
            <w:r>
              <w:rPr>
                <w:sz w:val="20"/>
                <w:szCs w:val="20"/>
                <w:highlight w:val="white"/>
              </w:rPr>
              <w:t>Balfanz</w:t>
            </w:r>
            <w:proofErr w:type="spellEnd"/>
            <w:r>
              <w:rPr>
                <w:sz w:val="20"/>
                <w:szCs w:val="20"/>
                <w:highlight w:val="white"/>
              </w:rPr>
              <w:t xml:space="preserve"> &amp; Byrnes, 2012; London et al., 2016) as well as anti-social characteristics, delinquent activity and negative behavioural outcomes (Gottfried, 2014; Baker, </w:t>
            </w:r>
            <w:proofErr w:type="spellStart"/>
            <w:r>
              <w:rPr>
                <w:sz w:val="20"/>
                <w:szCs w:val="20"/>
                <w:highlight w:val="white"/>
              </w:rPr>
              <w:t>Sigmon</w:t>
            </w:r>
            <w:proofErr w:type="spellEnd"/>
            <w:r>
              <w:rPr>
                <w:sz w:val="20"/>
                <w:szCs w:val="20"/>
                <w:highlight w:val="white"/>
              </w:rPr>
              <w:t>, &amp; Nugent, 2001). However, evidence suggests th</w:t>
            </w:r>
            <w:r>
              <w:rPr>
                <w:sz w:val="20"/>
                <w:szCs w:val="20"/>
                <w:highlight w:val="white"/>
              </w:rPr>
              <w:t>at small improvements in attendance can lead to meaningful impacts for these outcomes. Although the average attendance for our Q1 learners is in line with the local authority stretch aims, attendance for 27% children in our target group is below 90% and th</w:t>
            </w:r>
            <w:r>
              <w:rPr>
                <w:sz w:val="20"/>
                <w:szCs w:val="20"/>
                <w:highlight w:val="white"/>
              </w:rPr>
              <w:t>ere will continue to be a focus on working with those pupils and their families to support them to increase their attendance.</w:t>
            </w:r>
          </w:p>
          <w:p w14:paraId="7035AA9B" w14:textId="77777777" w:rsidR="000F20EB" w:rsidRDefault="000F20EB">
            <w:pPr>
              <w:ind w:right="140"/>
              <w:rPr>
                <w:highlight w:val="white"/>
              </w:rPr>
            </w:pPr>
          </w:p>
          <w:p w14:paraId="55DEEA9A" w14:textId="77777777" w:rsidR="000F20EB" w:rsidRDefault="002E2BB2">
            <w:pPr>
              <w:ind w:right="140"/>
              <w:rPr>
                <w:b/>
              </w:rPr>
            </w:pPr>
            <w:r>
              <w:rPr>
                <w:b/>
              </w:rPr>
              <w:t>References</w:t>
            </w:r>
          </w:p>
          <w:p w14:paraId="63DAFE2B" w14:textId="77777777" w:rsidR="000F20EB" w:rsidRDefault="000F20EB">
            <w:pPr>
              <w:ind w:right="140"/>
            </w:pPr>
          </w:p>
          <w:p w14:paraId="6355AADC" w14:textId="77777777" w:rsidR="000F20EB" w:rsidRDefault="002E2BB2">
            <w:pPr>
              <w:ind w:right="140"/>
              <w:rPr>
                <w:sz w:val="20"/>
                <w:szCs w:val="20"/>
              </w:rPr>
            </w:pPr>
            <w:r>
              <w:rPr>
                <w:sz w:val="20"/>
                <w:szCs w:val="20"/>
              </w:rPr>
              <w:t>Brown, C. (2010) Improving fine motor skills in young children: an intervention study, Educational Psychology in Prac</w:t>
            </w:r>
            <w:r>
              <w:rPr>
                <w:sz w:val="20"/>
                <w:szCs w:val="20"/>
              </w:rPr>
              <w:t>tice</w:t>
            </w:r>
          </w:p>
          <w:p w14:paraId="6888A1B2" w14:textId="77777777" w:rsidR="000F20EB" w:rsidRDefault="002E2BB2">
            <w:pPr>
              <w:ind w:right="140"/>
              <w:rPr>
                <w:sz w:val="20"/>
                <w:szCs w:val="20"/>
              </w:rPr>
            </w:pPr>
            <w:r>
              <w:rPr>
                <w:sz w:val="20"/>
                <w:szCs w:val="20"/>
              </w:rPr>
              <w:t xml:space="preserve">Education Scotland (2016) Interventions for Equity </w:t>
            </w:r>
          </w:p>
          <w:p w14:paraId="5CB01975" w14:textId="77777777" w:rsidR="000F20EB" w:rsidRDefault="002E2BB2">
            <w:pPr>
              <w:ind w:right="140"/>
              <w:rPr>
                <w:sz w:val="20"/>
                <w:szCs w:val="20"/>
              </w:rPr>
            </w:pPr>
            <w:r>
              <w:rPr>
                <w:sz w:val="20"/>
                <w:szCs w:val="20"/>
              </w:rPr>
              <w:t>Education Endowment Foundation- Rapid Evidence Review- Attendance Interventions</w:t>
            </w:r>
          </w:p>
        </w:tc>
      </w:tr>
      <w:bookmarkEnd w:id="0"/>
    </w:tbl>
    <w:p w14:paraId="6773BC1F" w14:textId="77777777" w:rsidR="000F20EB" w:rsidRDefault="000F20EB">
      <w:pPr>
        <w:spacing w:after="200"/>
      </w:pPr>
    </w:p>
    <w:tbl>
      <w:tblPr>
        <w:tblStyle w:val="a4"/>
        <w:tblW w:w="14565" w:type="dxa"/>
        <w:tblBorders>
          <w:top w:val="nil"/>
          <w:left w:val="nil"/>
          <w:bottom w:val="nil"/>
          <w:right w:val="nil"/>
          <w:insideH w:val="nil"/>
          <w:insideV w:val="nil"/>
        </w:tblBorders>
        <w:tblLayout w:type="fixed"/>
        <w:tblLook w:val="0600" w:firstRow="0" w:lastRow="0" w:firstColumn="0" w:lastColumn="0" w:noHBand="1" w:noVBand="1"/>
      </w:tblPr>
      <w:tblGrid>
        <w:gridCol w:w="1770"/>
        <w:gridCol w:w="1800"/>
        <w:gridCol w:w="1635"/>
        <w:gridCol w:w="2610"/>
        <w:gridCol w:w="1980"/>
        <w:gridCol w:w="4770"/>
      </w:tblGrid>
      <w:tr w:rsidR="000F20EB" w14:paraId="76767A78" w14:textId="77777777">
        <w:trPr>
          <w:trHeight w:val="1175"/>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4E0AE" w14:textId="77777777" w:rsidR="000F20EB" w:rsidRDefault="002E2BB2">
            <w:pPr>
              <w:spacing w:after="200"/>
              <w:ind w:left="140" w:right="140"/>
            </w:pPr>
            <w:r>
              <w:t>IDENTIFIED GAP/BARRIER</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2C50DE" w14:textId="77777777" w:rsidR="000F20EB" w:rsidRDefault="002E2BB2">
            <w:pPr>
              <w:spacing w:after="200"/>
              <w:ind w:left="140" w:right="140"/>
            </w:pPr>
            <w:r>
              <w:t>OUTCOME FOR LEARNERS</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2756CC" w14:textId="77777777" w:rsidR="000F20EB" w:rsidRDefault="002E2BB2">
            <w:pPr>
              <w:spacing w:after="200"/>
              <w:ind w:left="140" w:right="140"/>
            </w:pPr>
            <w:r>
              <w:t>IMPACT MEASURE</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39BD94" w14:textId="77777777" w:rsidR="000F20EB" w:rsidRDefault="002E2BB2">
            <w:pPr>
              <w:spacing w:after="200"/>
              <w:ind w:left="140" w:right="140"/>
            </w:pPr>
            <w:r>
              <w:t>INTERVENTION</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2ABF11" w14:textId="77777777" w:rsidR="000F20EB" w:rsidRDefault="002E2BB2">
            <w:pPr>
              <w:spacing w:after="200"/>
              <w:ind w:left="140" w:right="140"/>
            </w:pPr>
            <w:r>
              <w:t>COST</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F0C305" w14:textId="77777777" w:rsidR="000F20EB" w:rsidRDefault="002E2BB2">
            <w:pPr>
              <w:ind w:left="140" w:right="140"/>
            </w:pPr>
            <w:r>
              <w:t>PROGRESS INDICATORS</w:t>
            </w:r>
          </w:p>
        </w:tc>
      </w:tr>
      <w:tr w:rsidR="000F20EB" w14:paraId="4789E419" w14:textId="77777777">
        <w:trPr>
          <w:trHeight w:val="1175"/>
        </w:trPr>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453DE9" w14:textId="77777777" w:rsidR="000F20EB" w:rsidRDefault="002E2BB2">
            <w:pPr>
              <w:ind w:right="140"/>
              <w:rPr>
                <w:sz w:val="20"/>
                <w:szCs w:val="20"/>
              </w:rPr>
            </w:pPr>
            <w:r>
              <w:rPr>
                <w:sz w:val="20"/>
                <w:szCs w:val="20"/>
              </w:rPr>
              <w:t>Poverty related attainment gap in writing for P3, P5, P6 &amp; P7</w:t>
            </w:r>
          </w:p>
        </w:tc>
        <w:tc>
          <w:tcPr>
            <w:tcW w:w="18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D64F847" w14:textId="77777777" w:rsidR="000F20EB" w:rsidRDefault="002E2BB2">
            <w:pPr>
              <w:ind w:right="140"/>
              <w:rPr>
                <w:sz w:val="20"/>
                <w:szCs w:val="20"/>
              </w:rPr>
            </w:pPr>
            <w:r>
              <w:rPr>
                <w:sz w:val="20"/>
                <w:szCs w:val="20"/>
              </w:rPr>
              <w:t>By June 2025, 75% of targeted pupils in P3, P5, P6 &amp; P7 will achieve expected level of attainment in writing</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75956D18" w14:textId="77777777" w:rsidR="000F20EB" w:rsidRDefault="002E2BB2">
            <w:pPr>
              <w:ind w:right="140"/>
              <w:rPr>
                <w:sz w:val="20"/>
                <w:szCs w:val="20"/>
              </w:rPr>
            </w:pPr>
            <w:r>
              <w:rPr>
                <w:sz w:val="20"/>
                <w:szCs w:val="20"/>
              </w:rPr>
              <w:t>Run Charts</w:t>
            </w:r>
          </w:p>
          <w:p w14:paraId="00871F7E" w14:textId="77777777" w:rsidR="000F20EB" w:rsidRDefault="000F20EB">
            <w:pPr>
              <w:ind w:right="140"/>
              <w:rPr>
                <w:sz w:val="20"/>
                <w:szCs w:val="20"/>
              </w:rPr>
            </w:pPr>
          </w:p>
          <w:p w14:paraId="5ACFDC4B" w14:textId="77777777" w:rsidR="000F20EB" w:rsidRDefault="002E2BB2">
            <w:pPr>
              <w:ind w:right="140"/>
              <w:rPr>
                <w:sz w:val="20"/>
                <w:szCs w:val="20"/>
              </w:rPr>
            </w:pPr>
            <w:r>
              <w:rPr>
                <w:sz w:val="20"/>
                <w:szCs w:val="20"/>
              </w:rPr>
              <w:t>SNSA for P7</w:t>
            </w:r>
          </w:p>
          <w:p w14:paraId="734319F0" w14:textId="77777777" w:rsidR="000F20EB" w:rsidRDefault="000F20EB">
            <w:pPr>
              <w:ind w:right="140"/>
              <w:rPr>
                <w:sz w:val="20"/>
                <w:szCs w:val="20"/>
              </w:rPr>
            </w:pPr>
          </w:p>
          <w:p w14:paraId="7046F8AE" w14:textId="77777777" w:rsidR="000F20EB" w:rsidRDefault="002E2BB2">
            <w:pPr>
              <w:ind w:right="140"/>
              <w:rPr>
                <w:sz w:val="20"/>
                <w:szCs w:val="20"/>
              </w:rPr>
            </w:pPr>
            <w:r>
              <w:rPr>
                <w:sz w:val="20"/>
                <w:szCs w:val="20"/>
              </w:rPr>
              <w:t>Cluster writing moderation using learning grids</w:t>
            </w:r>
          </w:p>
          <w:p w14:paraId="6DBF2C03" w14:textId="77777777" w:rsidR="000F20EB" w:rsidRDefault="000F20EB">
            <w:pPr>
              <w:ind w:right="140"/>
              <w:rPr>
                <w:sz w:val="20"/>
                <w:szCs w:val="20"/>
              </w:rPr>
            </w:pP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5A085238" w14:textId="77777777" w:rsidR="000F20EB" w:rsidRDefault="002E2BB2">
            <w:pPr>
              <w:ind w:right="140"/>
              <w:rPr>
                <w:sz w:val="20"/>
                <w:szCs w:val="20"/>
              </w:rPr>
            </w:pPr>
            <w:r>
              <w:rPr>
                <w:sz w:val="20"/>
                <w:szCs w:val="20"/>
              </w:rPr>
              <w:t>CYPIC inter</w:t>
            </w:r>
            <w:r>
              <w:rPr>
                <w:sz w:val="20"/>
                <w:szCs w:val="20"/>
              </w:rPr>
              <w:t>vention model</w:t>
            </w:r>
          </w:p>
          <w:p w14:paraId="0C47142D" w14:textId="77777777" w:rsidR="000F20EB" w:rsidRDefault="000F20EB">
            <w:pPr>
              <w:ind w:right="140"/>
              <w:rPr>
                <w:sz w:val="20"/>
                <w:szCs w:val="20"/>
              </w:rPr>
            </w:pPr>
          </w:p>
          <w:p w14:paraId="1DDDB00E" w14:textId="77777777" w:rsidR="000F20EB" w:rsidRDefault="002E2BB2">
            <w:pPr>
              <w:ind w:right="140"/>
              <w:rPr>
                <w:sz w:val="20"/>
                <w:szCs w:val="20"/>
              </w:rPr>
            </w:pPr>
            <w:r>
              <w:rPr>
                <w:sz w:val="20"/>
                <w:szCs w:val="20"/>
              </w:rPr>
              <w:t xml:space="preserve">‘Take Ten’ Fine Motor skills </w:t>
            </w:r>
          </w:p>
        </w:tc>
        <w:tc>
          <w:tcPr>
            <w:tcW w:w="198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CB7DB48" w14:textId="77777777" w:rsidR="000F20EB" w:rsidRDefault="002E2BB2">
            <w:pPr>
              <w:spacing w:after="200"/>
              <w:ind w:left="140" w:right="140"/>
              <w:rPr>
                <w:sz w:val="20"/>
                <w:szCs w:val="20"/>
              </w:rPr>
            </w:pPr>
            <w:r>
              <w:rPr>
                <w:sz w:val="20"/>
                <w:szCs w:val="20"/>
              </w:rPr>
              <w:t xml:space="preserve">1 x 1.0 FTE Learning Assistant </w:t>
            </w:r>
          </w:p>
          <w:p w14:paraId="14643CF7" w14:textId="77777777" w:rsidR="000F20EB" w:rsidRDefault="002E2BB2">
            <w:pPr>
              <w:spacing w:after="200"/>
              <w:ind w:left="140" w:right="140"/>
              <w:rPr>
                <w:sz w:val="20"/>
                <w:szCs w:val="20"/>
              </w:rPr>
            </w:pPr>
            <w:r>
              <w:rPr>
                <w:sz w:val="20"/>
                <w:szCs w:val="20"/>
              </w:rPr>
              <w:t>£21.652.66 (time split between interventions)</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483811B" w14:textId="77777777" w:rsidR="000F20EB" w:rsidRDefault="002E2BB2">
            <w:pPr>
              <w:ind w:right="140"/>
              <w:rPr>
                <w:sz w:val="20"/>
                <w:szCs w:val="20"/>
              </w:rPr>
            </w:pPr>
            <w:r>
              <w:rPr>
                <w:b/>
                <w:sz w:val="20"/>
                <w:szCs w:val="20"/>
              </w:rPr>
              <w:t>Short term</w:t>
            </w:r>
            <w:r>
              <w:rPr>
                <w:sz w:val="20"/>
                <w:szCs w:val="20"/>
              </w:rPr>
              <w:t xml:space="preserve"> </w:t>
            </w:r>
          </w:p>
          <w:p w14:paraId="23FCDD8D" w14:textId="77777777" w:rsidR="000F20EB" w:rsidRDefault="002E2BB2">
            <w:pPr>
              <w:ind w:right="140"/>
              <w:rPr>
                <w:sz w:val="20"/>
                <w:szCs w:val="20"/>
                <w:highlight w:val="yellow"/>
              </w:rPr>
            </w:pPr>
            <w:r>
              <w:rPr>
                <w:sz w:val="20"/>
                <w:szCs w:val="20"/>
              </w:rPr>
              <w:t xml:space="preserve">Teachers at P3, P5, P6 &amp; P7 will have </w:t>
            </w:r>
            <w:r>
              <w:rPr>
                <w:sz w:val="20"/>
                <w:szCs w:val="20"/>
              </w:rPr>
              <w:t xml:space="preserve">increased confidence in teaching writing following the CYPIC training sessions </w:t>
            </w:r>
          </w:p>
          <w:p w14:paraId="36CC1D8D" w14:textId="77777777" w:rsidR="000F20EB" w:rsidRDefault="002E2BB2">
            <w:pPr>
              <w:ind w:right="140"/>
              <w:rPr>
                <w:b/>
                <w:sz w:val="20"/>
                <w:szCs w:val="20"/>
              </w:rPr>
            </w:pPr>
            <w:r>
              <w:rPr>
                <w:b/>
                <w:sz w:val="20"/>
                <w:szCs w:val="20"/>
              </w:rPr>
              <w:t>Medium term</w:t>
            </w:r>
          </w:p>
          <w:p w14:paraId="4F966DF5" w14:textId="77777777" w:rsidR="000F20EB" w:rsidRDefault="002E2BB2">
            <w:pPr>
              <w:ind w:right="140"/>
              <w:rPr>
                <w:sz w:val="20"/>
                <w:szCs w:val="20"/>
                <w:highlight w:val="yellow"/>
              </w:rPr>
            </w:pPr>
            <w:r>
              <w:rPr>
                <w:sz w:val="20"/>
                <w:szCs w:val="20"/>
              </w:rPr>
              <w:t>Teachers will implement the CYPIC intervention model and target group will participate in lessons and support sessions</w:t>
            </w:r>
          </w:p>
          <w:p w14:paraId="590531A2" w14:textId="77777777" w:rsidR="000F20EB" w:rsidRDefault="002E2BB2">
            <w:pPr>
              <w:ind w:right="140"/>
              <w:rPr>
                <w:b/>
                <w:sz w:val="20"/>
                <w:szCs w:val="20"/>
              </w:rPr>
            </w:pPr>
            <w:r>
              <w:rPr>
                <w:b/>
                <w:sz w:val="20"/>
                <w:szCs w:val="20"/>
              </w:rPr>
              <w:t>Long term</w:t>
            </w:r>
          </w:p>
          <w:p w14:paraId="374E07B1" w14:textId="77777777" w:rsidR="000F20EB" w:rsidRDefault="002E2BB2">
            <w:pPr>
              <w:ind w:right="140"/>
              <w:rPr>
                <w:sz w:val="20"/>
                <w:szCs w:val="20"/>
              </w:rPr>
            </w:pPr>
            <w:r>
              <w:rPr>
                <w:sz w:val="20"/>
                <w:szCs w:val="20"/>
              </w:rPr>
              <w:t>By June 2025, 75% of targeted pupil</w:t>
            </w:r>
            <w:r>
              <w:rPr>
                <w:sz w:val="20"/>
                <w:szCs w:val="20"/>
              </w:rPr>
              <w:t>s in P3, P5, P6 &amp; P7 will achieve expected level of attainment in writing</w:t>
            </w:r>
          </w:p>
        </w:tc>
      </w:tr>
      <w:tr w:rsidR="000F20EB" w14:paraId="145C06A0" w14:textId="77777777">
        <w:trPr>
          <w:trHeight w:val="1175"/>
        </w:trPr>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0061E9" w14:textId="3D1392C2" w:rsidR="000F20EB" w:rsidRDefault="002E2BB2">
            <w:pPr>
              <w:ind w:right="140"/>
              <w:rPr>
                <w:sz w:val="20"/>
                <w:szCs w:val="20"/>
              </w:rPr>
            </w:pPr>
            <w:r>
              <w:rPr>
                <w:sz w:val="20"/>
                <w:szCs w:val="20"/>
              </w:rPr>
              <w:t xml:space="preserve">Poverty related attainment </w:t>
            </w:r>
            <w:r>
              <w:rPr>
                <w:sz w:val="20"/>
                <w:szCs w:val="20"/>
              </w:rPr>
              <w:t xml:space="preserve">gap in numeracy at P3, P5 &amp; P7 </w:t>
            </w:r>
          </w:p>
        </w:tc>
        <w:tc>
          <w:tcPr>
            <w:tcW w:w="18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9B8DE6A" w14:textId="77777777" w:rsidR="000F20EB" w:rsidRDefault="002E2BB2">
            <w:pPr>
              <w:ind w:right="140"/>
              <w:rPr>
                <w:sz w:val="20"/>
                <w:szCs w:val="20"/>
              </w:rPr>
            </w:pPr>
            <w:r>
              <w:rPr>
                <w:sz w:val="20"/>
                <w:szCs w:val="20"/>
              </w:rPr>
              <w:t>By June 2025, 75% of targeted pupils in P3, P5 &amp; P7 will achieve expected level of attainment in numeracy</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4439803E" w14:textId="77777777" w:rsidR="000F20EB" w:rsidRDefault="002E2BB2">
            <w:pPr>
              <w:ind w:left="140" w:right="140"/>
              <w:rPr>
                <w:sz w:val="20"/>
                <w:szCs w:val="20"/>
              </w:rPr>
            </w:pPr>
            <w:r>
              <w:rPr>
                <w:sz w:val="20"/>
                <w:szCs w:val="20"/>
              </w:rPr>
              <w:t>SNSA Numeracy at P7</w:t>
            </w:r>
          </w:p>
          <w:p w14:paraId="6CF9AE8D" w14:textId="77777777" w:rsidR="000F20EB" w:rsidRDefault="000F20EB">
            <w:pPr>
              <w:ind w:left="140" w:right="140"/>
              <w:rPr>
                <w:sz w:val="20"/>
                <w:szCs w:val="20"/>
              </w:rPr>
            </w:pPr>
          </w:p>
          <w:p w14:paraId="41AA43DE" w14:textId="77777777" w:rsidR="000F20EB" w:rsidRDefault="002E2BB2">
            <w:pPr>
              <w:ind w:left="140" w:right="140"/>
              <w:rPr>
                <w:sz w:val="20"/>
                <w:szCs w:val="20"/>
              </w:rPr>
            </w:pPr>
            <w:r>
              <w:rPr>
                <w:sz w:val="20"/>
                <w:szCs w:val="20"/>
              </w:rPr>
              <w:t>Sandwell numeracy assessments</w:t>
            </w:r>
          </w:p>
          <w:p w14:paraId="3BFA842D" w14:textId="77777777" w:rsidR="000F20EB" w:rsidRDefault="000F20EB">
            <w:pPr>
              <w:ind w:right="140"/>
              <w:rPr>
                <w:sz w:val="20"/>
                <w:szCs w:val="20"/>
              </w:rPr>
            </w:pP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14AD74BD" w14:textId="77777777" w:rsidR="000F20EB" w:rsidRDefault="002E2BB2">
            <w:pPr>
              <w:ind w:right="140"/>
              <w:rPr>
                <w:sz w:val="20"/>
                <w:szCs w:val="20"/>
              </w:rPr>
            </w:pPr>
            <w:r>
              <w:rPr>
                <w:sz w:val="20"/>
                <w:szCs w:val="20"/>
              </w:rPr>
              <w:t>Number Talks</w:t>
            </w:r>
          </w:p>
          <w:p w14:paraId="5D642796" w14:textId="77777777" w:rsidR="000F20EB" w:rsidRDefault="000F20EB">
            <w:pPr>
              <w:ind w:right="140"/>
              <w:rPr>
                <w:sz w:val="20"/>
                <w:szCs w:val="20"/>
              </w:rPr>
            </w:pPr>
          </w:p>
          <w:p w14:paraId="664F96C8" w14:textId="77777777" w:rsidR="000F20EB" w:rsidRDefault="002E2BB2">
            <w:pPr>
              <w:ind w:right="140"/>
              <w:rPr>
                <w:sz w:val="20"/>
                <w:szCs w:val="20"/>
              </w:rPr>
            </w:pPr>
            <w:r>
              <w:rPr>
                <w:sz w:val="20"/>
                <w:szCs w:val="20"/>
              </w:rPr>
              <w:t>Power of 2</w:t>
            </w:r>
          </w:p>
        </w:tc>
        <w:tc>
          <w:tcPr>
            <w:tcW w:w="198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6586913" w14:textId="77777777" w:rsidR="000F20EB" w:rsidRDefault="002E2BB2">
            <w:pPr>
              <w:spacing w:after="200"/>
              <w:ind w:left="140" w:right="140"/>
              <w:rPr>
                <w:sz w:val="20"/>
                <w:szCs w:val="20"/>
              </w:rPr>
            </w:pPr>
            <w:r>
              <w:rPr>
                <w:sz w:val="20"/>
                <w:szCs w:val="20"/>
              </w:rPr>
              <w:t xml:space="preserve">Learning Assistant (as above- shared time supporting interventions) </w:t>
            </w:r>
          </w:p>
          <w:p w14:paraId="58C3BF63" w14:textId="77777777" w:rsidR="000F20EB" w:rsidRDefault="002E2BB2">
            <w:pPr>
              <w:spacing w:after="200"/>
              <w:ind w:left="140" w:right="140"/>
              <w:rPr>
                <w:sz w:val="20"/>
                <w:szCs w:val="20"/>
              </w:rPr>
            </w:pPr>
            <w:r>
              <w:rPr>
                <w:sz w:val="20"/>
                <w:szCs w:val="20"/>
              </w:rPr>
              <w:t>Numb</w:t>
            </w:r>
            <w:r>
              <w:rPr>
                <w:sz w:val="20"/>
                <w:szCs w:val="20"/>
              </w:rPr>
              <w:t>er Talk books for staff team- £1,000)</w:t>
            </w:r>
          </w:p>
          <w:p w14:paraId="68922FB9" w14:textId="77777777" w:rsidR="000F20EB" w:rsidRDefault="002E2BB2">
            <w:pPr>
              <w:spacing w:after="200"/>
              <w:ind w:right="140"/>
              <w:rPr>
                <w:sz w:val="20"/>
                <w:szCs w:val="20"/>
              </w:rPr>
            </w:pPr>
            <w:r>
              <w:rPr>
                <w:sz w:val="20"/>
                <w:szCs w:val="20"/>
              </w:rPr>
              <w:t>Power of 2 books- £200</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B3DC896" w14:textId="77777777" w:rsidR="000F20EB" w:rsidRDefault="002E2BB2">
            <w:pPr>
              <w:ind w:right="140"/>
              <w:rPr>
                <w:b/>
                <w:sz w:val="20"/>
                <w:szCs w:val="20"/>
              </w:rPr>
            </w:pPr>
            <w:r>
              <w:rPr>
                <w:b/>
                <w:sz w:val="20"/>
                <w:szCs w:val="20"/>
              </w:rPr>
              <w:t>Short Term</w:t>
            </w:r>
          </w:p>
          <w:p w14:paraId="1C45106A" w14:textId="77777777" w:rsidR="000F20EB" w:rsidRDefault="002E2BB2">
            <w:pPr>
              <w:ind w:right="140"/>
              <w:rPr>
                <w:sz w:val="20"/>
                <w:szCs w:val="20"/>
              </w:rPr>
            </w:pPr>
            <w:r>
              <w:rPr>
                <w:sz w:val="20"/>
                <w:szCs w:val="20"/>
              </w:rPr>
              <w:t>Teachers will have increased confidence in teaching mental maths strategies following training in Number Talks and Power of 2 lessons and sessions</w:t>
            </w:r>
          </w:p>
          <w:p w14:paraId="209377E5" w14:textId="77777777" w:rsidR="000F20EB" w:rsidRDefault="002E2BB2">
            <w:pPr>
              <w:ind w:right="140"/>
              <w:rPr>
                <w:b/>
                <w:sz w:val="20"/>
                <w:szCs w:val="20"/>
              </w:rPr>
            </w:pPr>
            <w:r>
              <w:rPr>
                <w:b/>
                <w:sz w:val="20"/>
                <w:szCs w:val="20"/>
              </w:rPr>
              <w:t>Medium term</w:t>
            </w:r>
          </w:p>
          <w:p w14:paraId="546B474F" w14:textId="77777777" w:rsidR="000F20EB" w:rsidRDefault="002E2BB2">
            <w:pPr>
              <w:ind w:right="140"/>
              <w:rPr>
                <w:sz w:val="20"/>
                <w:szCs w:val="20"/>
              </w:rPr>
            </w:pPr>
            <w:r>
              <w:rPr>
                <w:sz w:val="20"/>
                <w:szCs w:val="20"/>
              </w:rPr>
              <w:t>Teachers will implement N</w:t>
            </w:r>
            <w:r>
              <w:rPr>
                <w:sz w:val="20"/>
                <w:szCs w:val="20"/>
              </w:rPr>
              <w:t>umber Talks and target group learners will participate in additional support sessions as required</w:t>
            </w:r>
          </w:p>
          <w:p w14:paraId="329B879A" w14:textId="77777777" w:rsidR="000F20EB" w:rsidRDefault="002E2BB2">
            <w:pPr>
              <w:ind w:right="140"/>
              <w:rPr>
                <w:b/>
                <w:sz w:val="20"/>
                <w:szCs w:val="20"/>
              </w:rPr>
            </w:pPr>
            <w:r>
              <w:rPr>
                <w:b/>
                <w:sz w:val="20"/>
                <w:szCs w:val="20"/>
              </w:rPr>
              <w:t>Long term</w:t>
            </w:r>
          </w:p>
          <w:p w14:paraId="13ADF9FC" w14:textId="77777777" w:rsidR="000F20EB" w:rsidRDefault="002E2BB2">
            <w:pPr>
              <w:ind w:right="140"/>
              <w:rPr>
                <w:sz w:val="20"/>
                <w:szCs w:val="20"/>
              </w:rPr>
            </w:pPr>
            <w:r>
              <w:rPr>
                <w:sz w:val="20"/>
                <w:szCs w:val="20"/>
              </w:rPr>
              <w:t>By June 2025, 75% of targeted pupils in P3, P5 &amp; P7 will achieve expected level of attainment in numeracy</w:t>
            </w:r>
          </w:p>
        </w:tc>
      </w:tr>
      <w:tr w:rsidR="000F20EB" w14:paraId="581C4436" w14:textId="77777777">
        <w:trPr>
          <w:trHeight w:val="1175"/>
        </w:trPr>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76E5F1" w14:textId="77777777" w:rsidR="000F20EB" w:rsidRDefault="002E2BB2">
            <w:pPr>
              <w:ind w:right="140"/>
              <w:rPr>
                <w:sz w:val="20"/>
                <w:szCs w:val="20"/>
              </w:rPr>
            </w:pPr>
            <w:r>
              <w:rPr>
                <w:sz w:val="20"/>
                <w:szCs w:val="20"/>
              </w:rPr>
              <w:lastRenderedPageBreak/>
              <w:t xml:space="preserve">Social and emotional </w:t>
            </w:r>
            <w:proofErr w:type="spellStart"/>
            <w:r>
              <w:rPr>
                <w:sz w:val="20"/>
                <w:szCs w:val="20"/>
              </w:rPr>
              <w:t>well being</w:t>
            </w:r>
            <w:proofErr w:type="spellEnd"/>
            <w:r>
              <w:rPr>
                <w:sz w:val="20"/>
                <w:szCs w:val="20"/>
              </w:rPr>
              <w:t xml:space="preserve"> impacting on attainment.  </w:t>
            </w:r>
          </w:p>
        </w:tc>
        <w:tc>
          <w:tcPr>
            <w:tcW w:w="18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16022C5" w14:textId="77777777" w:rsidR="000F20EB" w:rsidRDefault="002E2BB2">
            <w:pPr>
              <w:ind w:right="140"/>
              <w:rPr>
                <w:sz w:val="20"/>
                <w:szCs w:val="20"/>
              </w:rPr>
            </w:pPr>
            <w:r>
              <w:rPr>
                <w:sz w:val="20"/>
                <w:szCs w:val="20"/>
              </w:rPr>
              <w:t xml:space="preserve">Each term, </w:t>
            </w:r>
            <w:proofErr w:type="gramStart"/>
            <w:r>
              <w:rPr>
                <w:sz w:val="20"/>
                <w:szCs w:val="20"/>
              </w:rPr>
              <w:t>Identified</w:t>
            </w:r>
            <w:proofErr w:type="gramEnd"/>
            <w:r>
              <w:rPr>
                <w:sz w:val="20"/>
                <w:szCs w:val="20"/>
              </w:rPr>
              <w:t xml:space="preserve"> children (FME/Q1 on Stage 2) will have increased participation in the classroom through targeted interventions  </w:t>
            </w:r>
          </w:p>
          <w:p w14:paraId="7022BFB2" w14:textId="77777777" w:rsidR="000F20EB" w:rsidRDefault="000F20EB">
            <w:pPr>
              <w:ind w:right="140"/>
              <w:rPr>
                <w:sz w:val="20"/>
                <w:szCs w:val="20"/>
              </w:rPr>
            </w:pP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00211198" w14:textId="77777777" w:rsidR="000F20EB" w:rsidRDefault="002E2BB2">
            <w:pPr>
              <w:ind w:left="140" w:right="140"/>
              <w:rPr>
                <w:sz w:val="20"/>
                <w:szCs w:val="20"/>
              </w:rPr>
            </w:pPr>
            <w:r>
              <w:rPr>
                <w:sz w:val="20"/>
                <w:szCs w:val="20"/>
              </w:rPr>
              <w:t xml:space="preserve">The </w:t>
            </w:r>
            <w:proofErr w:type="gramStart"/>
            <w:r>
              <w:rPr>
                <w:sz w:val="20"/>
                <w:szCs w:val="20"/>
              </w:rPr>
              <w:t>engagement  data</w:t>
            </w:r>
            <w:proofErr w:type="gramEnd"/>
            <w:r>
              <w:rPr>
                <w:sz w:val="20"/>
                <w:szCs w:val="20"/>
              </w:rPr>
              <w:t xml:space="preserve"> will be tracked over six week periods us</w:t>
            </w:r>
            <w:r>
              <w:rPr>
                <w:sz w:val="20"/>
                <w:szCs w:val="20"/>
              </w:rPr>
              <w:t>ing The Incredible 5 Point Scale.</w:t>
            </w:r>
          </w:p>
          <w:p w14:paraId="0FACA680" w14:textId="77777777" w:rsidR="000F20EB" w:rsidRDefault="000F20EB">
            <w:pPr>
              <w:ind w:left="140" w:right="140"/>
              <w:rPr>
                <w:sz w:val="20"/>
                <w:szCs w:val="20"/>
              </w:rPr>
            </w:pPr>
          </w:p>
          <w:p w14:paraId="6D7C2B67" w14:textId="77777777" w:rsidR="000F20EB" w:rsidRDefault="002E2BB2">
            <w:pPr>
              <w:ind w:left="140" w:right="140"/>
              <w:rPr>
                <w:sz w:val="20"/>
                <w:szCs w:val="20"/>
              </w:rPr>
            </w:pPr>
            <w:r>
              <w:rPr>
                <w:sz w:val="20"/>
                <w:szCs w:val="20"/>
              </w:rPr>
              <w:t>Termly information will also be collected for analysis via the Equity Tracker</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4F9A11BF" w14:textId="77777777" w:rsidR="000F20EB" w:rsidRDefault="002E2BB2">
            <w:pPr>
              <w:ind w:right="140"/>
              <w:rPr>
                <w:sz w:val="20"/>
                <w:szCs w:val="20"/>
              </w:rPr>
            </w:pPr>
            <w:r>
              <w:rPr>
                <w:sz w:val="20"/>
                <w:szCs w:val="20"/>
              </w:rPr>
              <w:t>1-1 Soft starts/</w:t>
            </w:r>
            <w:proofErr w:type="gramStart"/>
            <w:r>
              <w:rPr>
                <w:sz w:val="20"/>
                <w:szCs w:val="20"/>
              </w:rPr>
              <w:t>finishes  for</w:t>
            </w:r>
            <w:proofErr w:type="gramEnd"/>
            <w:r>
              <w:rPr>
                <w:sz w:val="20"/>
                <w:szCs w:val="20"/>
              </w:rPr>
              <w:t xml:space="preserve"> identified pupils.</w:t>
            </w:r>
          </w:p>
          <w:p w14:paraId="64A7BE0D" w14:textId="77777777" w:rsidR="000F20EB" w:rsidRDefault="000F20EB">
            <w:pPr>
              <w:ind w:right="140"/>
              <w:rPr>
                <w:sz w:val="20"/>
                <w:szCs w:val="20"/>
              </w:rPr>
            </w:pPr>
          </w:p>
          <w:p w14:paraId="1232E79F" w14:textId="77777777" w:rsidR="000F20EB" w:rsidRDefault="002E2BB2">
            <w:pPr>
              <w:ind w:right="140"/>
              <w:rPr>
                <w:sz w:val="20"/>
                <w:szCs w:val="20"/>
              </w:rPr>
            </w:pPr>
            <w:r>
              <w:rPr>
                <w:sz w:val="20"/>
                <w:szCs w:val="20"/>
              </w:rPr>
              <w:t xml:space="preserve">1-1 Mind Moose and small group </w:t>
            </w:r>
            <w:proofErr w:type="spellStart"/>
            <w:r>
              <w:rPr>
                <w:sz w:val="20"/>
                <w:szCs w:val="20"/>
              </w:rPr>
              <w:t>Friendz</w:t>
            </w:r>
            <w:proofErr w:type="spellEnd"/>
            <w:r>
              <w:rPr>
                <w:sz w:val="20"/>
                <w:szCs w:val="20"/>
              </w:rPr>
              <w:t xml:space="preserve"> Sessions for identified pupils. </w:t>
            </w:r>
          </w:p>
          <w:p w14:paraId="45EC6BA5" w14:textId="77777777" w:rsidR="000F20EB" w:rsidRDefault="000F20EB">
            <w:pPr>
              <w:ind w:right="140"/>
              <w:rPr>
                <w:sz w:val="20"/>
                <w:szCs w:val="20"/>
              </w:rPr>
            </w:pPr>
          </w:p>
          <w:p w14:paraId="19EA6B37" w14:textId="77777777" w:rsidR="000F20EB" w:rsidRDefault="002E2BB2">
            <w:pPr>
              <w:ind w:right="140"/>
              <w:rPr>
                <w:sz w:val="20"/>
                <w:szCs w:val="20"/>
              </w:rPr>
            </w:pPr>
            <w:r>
              <w:rPr>
                <w:sz w:val="20"/>
                <w:szCs w:val="20"/>
              </w:rPr>
              <w:t>Bereavement box sessions for identified pupils</w:t>
            </w:r>
          </w:p>
          <w:p w14:paraId="511FE164" w14:textId="77777777" w:rsidR="000F20EB" w:rsidRDefault="000F20EB">
            <w:pPr>
              <w:ind w:right="140"/>
              <w:rPr>
                <w:sz w:val="20"/>
                <w:szCs w:val="20"/>
              </w:rPr>
            </w:pPr>
          </w:p>
          <w:p w14:paraId="4F168CF3" w14:textId="77777777" w:rsidR="000F20EB" w:rsidRDefault="002E2BB2">
            <w:pPr>
              <w:ind w:right="140"/>
              <w:rPr>
                <w:sz w:val="20"/>
                <w:szCs w:val="20"/>
              </w:rPr>
            </w:pPr>
            <w:r>
              <w:rPr>
                <w:sz w:val="20"/>
                <w:szCs w:val="20"/>
              </w:rPr>
              <w:t>Resilient rhythms sessions for identified pupils</w:t>
            </w:r>
          </w:p>
          <w:p w14:paraId="2F2A1507" w14:textId="77777777" w:rsidR="000F20EB" w:rsidRDefault="000F20EB">
            <w:pPr>
              <w:ind w:right="140"/>
              <w:rPr>
                <w:sz w:val="20"/>
                <w:szCs w:val="20"/>
              </w:rPr>
            </w:pPr>
          </w:p>
          <w:p w14:paraId="7C7583B5" w14:textId="77777777" w:rsidR="000F20EB" w:rsidRDefault="002E2BB2">
            <w:pPr>
              <w:ind w:right="140"/>
              <w:rPr>
                <w:sz w:val="20"/>
                <w:szCs w:val="20"/>
              </w:rPr>
            </w:pPr>
            <w:r>
              <w:rPr>
                <w:sz w:val="20"/>
                <w:szCs w:val="20"/>
              </w:rPr>
              <w:t>Cooking boxes resources in classes</w:t>
            </w:r>
          </w:p>
          <w:p w14:paraId="434AB29C" w14:textId="77777777" w:rsidR="000F20EB" w:rsidRDefault="000F20EB">
            <w:pPr>
              <w:ind w:right="140"/>
              <w:rPr>
                <w:sz w:val="20"/>
                <w:szCs w:val="20"/>
              </w:rPr>
            </w:pPr>
          </w:p>
          <w:p w14:paraId="23B2EE41" w14:textId="77777777" w:rsidR="000F20EB" w:rsidRDefault="002E2BB2">
            <w:pPr>
              <w:ind w:right="140"/>
              <w:rPr>
                <w:sz w:val="20"/>
                <w:szCs w:val="20"/>
              </w:rPr>
            </w:pPr>
            <w:r>
              <w:rPr>
                <w:sz w:val="20"/>
                <w:szCs w:val="20"/>
              </w:rPr>
              <w:t xml:space="preserve">Experiences funded for learners- Panto trip, </w:t>
            </w:r>
            <w:proofErr w:type="spellStart"/>
            <w:r>
              <w:rPr>
                <w:sz w:val="20"/>
                <w:szCs w:val="20"/>
              </w:rPr>
              <w:t>Rock</w:t>
            </w:r>
            <w:r>
              <w:rPr>
                <w:sz w:val="20"/>
                <w:szCs w:val="20"/>
              </w:rPr>
              <w:t>Kidz</w:t>
            </w:r>
            <w:proofErr w:type="spellEnd"/>
            <w:r>
              <w:rPr>
                <w:sz w:val="20"/>
                <w:szCs w:val="20"/>
              </w:rPr>
              <w:t xml:space="preserve"> concert, skiing buses, subsidised ‘Big School Trip’, Nurture space/sensory equipment, annual subscriptions</w:t>
            </w:r>
          </w:p>
          <w:p w14:paraId="226AF674" w14:textId="77777777" w:rsidR="000F20EB" w:rsidRDefault="000F20EB">
            <w:pPr>
              <w:ind w:right="140"/>
              <w:rPr>
                <w:color w:val="9900FF"/>
                <w:sz w:val="20"/>
                <w:szCs w:val="20"/>
              </w:rPr>
            </w:pPr>
          </w:p>
        </w:tc>
        <w:tc>
          <w:tcPr>
            <w:tcW w:w="198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C7D7483" w14:textId="77777777" w:rsidR="000F20EB" w:rsidRDefault="002E2BB2">
            <w:pPr>
              <w:spacing w:after="200"/>
              <w:ind w:left="140" w:right="140"/>
              <w:rPr>
                <w:sz w:val="20"/>
                <w:szCs w:val="20"/>
              </w:rPr>
            </w:pPr>
            <w:r>
              <w:rPr>
                <w:sz w:val="20"/>
                <w:szCs w:val="20"/>
              </w:rPr>
              <w:t xml:space="preserve">1 x 1.0 FTE Learning Assistant </w:t>
            </w:r>
          </w:p>
          <w:p w14:paraId="73EBC484" w14:textId="77777777" w:rsidR="000F20EB" w:rsidRDefault="002E2BB2">
            <w:pPr>
              <w:spacing w:after="200"/>
              <w:ind w:left="140" w:right="140"/>
              <w:rPr>
                <w:sz w:val="20"/>
                <w:szCs w:val="20"/>
              </w:rPr>
            </w:pPr>
            <w:r>
              <w:rPr>
                <w:sz w:val="20"/>
                <w:szCs w:val="20"/>
              </w:rPr>
              <w:t>£21.652.66 (time split between interventions)</w:t>
            </w:r>
          </w:p>
          <w:p w14:paraId="36DEF0C4" w14:textId="77777777" w:rsidR="000F20EB" w:rsidRDefault="000F20EB">
            <w:pPr>
              <w:spacing w:after="200"/>
              <w:ind w:left="140" w:right="140"/>
              <w:rPr>
                <w:sz w:val="20"/>
                <w:szCs w:val="20"/>
              </w:rPr>
            </w:pPr>
          </w:p>
          <w:p w14:paraId="21C76FF0" w14:textId="77777777" w:rsidR="000F20EB" w:rsidRDefault="000F20EB">
            <w:pPr>
              <w:spacing w:after="200"/>
              <w:ind w:left="140" w:right="140"/>
              <w:rPr>
                <w:sz w:val="20"/>
                <w:szCs w:val="20"/>
              </w:rPr>
            </w:pPr>
          </w:p>
          <w:p w14:paraId="7B1E10C4" w14:textId="77777777" w:rsidR="000F20EB" w:rsidRDefault="000F20EB">
            <w:pPr>
              <w:spacing w:after="200"/>
              <w:ind w:left="140" w:right="140"/>
              <w:rPr>
                <w:sz w:val="20"/>
                <w:szCs w:val="20"/>
              </w:rPr>
            </w:pPr>
          </w:p>
          <w:p w14:paraId="4B763374" w14:textId="77777777" w:rsidR="000F20EB" w:rsidRDefault="000F20EB">
            <w:pPr>
              <w:spacing w:after="200"/>
              <w:ind w:left="140" w:right="140"/>
              <w:rPr>
                <w:sz w:val="20"/>
                <w:szCs w:val="20"/>
              </w:rPr>
            </w:pPr>
          </w:p>
          <w:p w14:paraId="10A0B38C" w14:textId="77777777" w:rsidR="000F20EB" w:rsidRDefault="000F20EB">
            <w:pPr>
              <w:spacing w:after="200"/>
              <w:ind w:left="140" w:right="140"/>
              <w:rPr>
                <w:sz w:val="20"/>
                <w:szCs w:val="20"/>
              </w:rPr>
            </w:pPr>
          </w:p>
          <w:p w14:paraId="0014C380" w14:textId="77777777" w:rsidR="000F20EB" w:rsidRDefault="000F20EB">
            <w:pPr>
              <w:spacing w:after="200"/>
              <w:ind w:left="140" w:right="140"/>
              <w:rPr>
                <w:sz w:val="20"/>
                <w:szCs w:val="20"/>
              </w:rPr>
            </w:pPr>
          </w:p>
          <w:p w14:paraId="379CBD79" w14:textId="77777777" w:rsidR="000F20EB" w:rsidRDefault="000F20EB">
            <w:pPr>
              <w:spacing w:after="200"/>
              <w:ind w:left="140" w:right="140"/>
              <w:rPr>
                <w:sz w:val="20"/>
                <w:szCs w:val="20"/>
              </w:rPr>
            </w:pPr>
          </w:p>
          <w:p w14:paraId="131D98BD" w14:textId="77777777" w:rsidR="000F20EB" w:rsidRDefault="000F20EB">
            <w:pPr>
              <w:spacing w:after="200"/>
              <w:ind w:left="140" w:right="140"/>
              <w:rPr>
                <w:sz w:val="20"/>
                <w:szCs w:val="20"/>
              </w:rPr>
            </w:pPr>
          </w:p>
          <w:p w14:paraId="71793A3D" w14:textId="77777777" w:rsidR="000F20EB" w:rsidRDefault="002E2BB2">
            <w:pPr>
              <w:spacing w:after="200"/>
              <w:ind w:left="140" w:right="140"/>
              <w:rPr>
                <w:sz w:val="20"/>
                <w:szCs w:val="20"/>
              </w:rPr>
            </w:pPr>
            <w:r>
              <w:rPr>
                <w:sz w:val="20"/>
                <w:szCs w:val="20"/>
              </w:rPr>
              <w:t>£7,970.68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2BC1D1C" w14:textId="77777777" w:rsidR="000F20EB" w:rsidRDefault="002E2BB2">
            <w:pPr>
              <w:ind w:right="140"/>
              <w:rPr>
                <w:b/>
                <w:sz w:val="20"/>
                <w:szCs w:val="20"/>
              </w:rPr>
            </w:pPr>
            <w:r>
              <w:rPr>
                <w:b/>
                <w:sz w:val="20"/>
                <w:szCs w:val="20"/>
              </w:rPr>
              <w:t>Short Term</w:t>
            </w:r>
          </w:p>
          <w:p w14:paraId="15B5AB31" w14:textId="77777777" w:rsidR="000F20EB" w:rsidRDefault="002E2BB2">
            <w:pPr>
              <w:ind w:right="140"/>
              <w:rPr>
                <w:sz w:val="20"/>
                <w:szCs w:val="20"/>
              </w:rPr>
            </w:pPr>
            <w:r>
              <w:rPr>
                <w:sz w:val="20"/>
                <w:szCs w:val="20"/>
              </w:rPr>
              <w:t>Learning Assistant will have improved knowledge and understanding of approaches supported by DHT/PT.</w:t>
            </w:r>
          </w:p>
          <w:p w14:paraId="75753F7A" w14:textId="77777777" w:rsidR="000F20EB" w:rsidRDefault="002E2BB2">
            <w:pPr>
              <w:ind w:left="140" w:right="140"/>
              <w:rPr>
                <w:sz w:val="20"/>
                <w:szCs w:val="20"/>
              </w:rPr>
            </w:pPr>
            <w:r>
              <w:rPr>
                <w:sz w:val="20"/>
                <w:szCs w:val="20"/>
              </w:rPr>
              <w:t xml:space="preserve"> </w:t>
            </w:r>
          </w:p>
          <w:p w14:paraId="2E1132DE" w14:textId="77777777" w:rsidR="000F20EB" w:rsidRDefault="002E2BB2">
            <w:pPr>
              <w:ind w:right="140"/>
              <w:rPr>
                <w:b/>
                <w:sz w:val="20"/>
                <w:szCs w:val="20"/>
              </w:rPr>
            </w:pPr>
            <w:r>
              <w:rPr>
                <w:b/>
                <w:sz w:val="20"/>
                <w:szCs w:val="20"/>
              </w:rPr>
              <w:t>Medium Term</w:t>
            </w:r>
          </w:p>
          <w:p w14:paraId="64D938C0" w14:textId="77777777" w:rsidR="000F20EB" w:rsidRDefault="002E2BB2">
            <w:pPr>
              <w:ind w:right="140"/>
              <w:rPr>
                <w:b/>
                <w:sz w:val="20"/>
                <w:szCs w:val="20"/>
              </w:rPr>
            </w:pPr>
            <w:proofErr w:type="spellStart"/>
            <w:r>
              <w:rPr>
                <w:sz w:val="20"/>
                <w:szCs w:val="20"/>
              </w:rPr>
              <w:t>Mid point</w:t>
            </w:r>
            <w:proofErr w:type="spellEnd"/>
            <w:r>
              <w:rPr>
                <w:sz w:val="20"/>
                <w:szCs w:val="20"/>
              </w:rPr>
              <w:t xml:space="preserve"> assessment using </w:t>
            </w:r>
            <w:proofErr w:type="gramStart"/>
            <w:r>
              <w:rPr>
                <w:sz w:val="20"/>
                <w:szCs w:val="20"/>
              </w:rPr>
              <w:t>5 point</w:t>
            </w:r>
            <w:proofErr w:type="gramEnd"/>
            <w:r>
              <w:rPr>
                <w:sz w:val="20"/>
                <w:szCs w:val="20"/>
              </w:rPr>
              <w:t xml:space="preserve"> scale.</w:t>
            </w:r>
            <w:r>
              <w:rPr>
                <w:b/>
                <w:sz w:val="20"/>
                <w:szCs w:val="20"/>
              </w:rPr>
              <w:t xml:space="preserve"> </w:t>
            </w:r>
          </w:p>
          <w:p w14:paraId="7C63103D" w14:textId="77777777" w:rsidR="000F20EB" w:rsidRDefault="002E2BB2">
            <w:pPr>
              <w:ind w:right="140"/>
              <w:rPr>
                <w:sz w:val="20"/>
                <w:szCs w:val="20"/>
              </w:rPr>
            </w:pPr>
            <w:r>
              <w:rPr>
                <w:sz w:val="20"/>
                <w:szCs w:val="20"/>
              </w:rPr>
              <w:t xml:space="preserve">Data input to Equity Tracker </w:t>
            </w:r>
          </w:p>
          <w:p w14:paraId="7F72E2FA" w14:textId="77777777" w:rsidR="000F20EB" w:rsidRDefault="000F20EB">
            <w:pPr>
              <w:ind w:right="140"/>
              <w:rPr>
                <w:b/>
                <w:sz w:val="20"/>
                <w:szCs w:val="20"/>
              </w:rPr>
            </w:pPr>
          </w:p>
          <w:p w14:paraId="757A8388" w14:textId="77777777" w:rsidR="000F20EB" w:rsidRDefault="002E2BB2">
            <w:pPr>
              <w:ind w:right="140"/>
              <w:rPr>
                <w:b/>
                <w:sz w:val="20"/>
                <w:szCs w:val="20"/>
              </w:rPr>
            </w:pPr>
            <w:r>
              <w:rPr>
                <w:b/>
                <w:sz w:val="20"/>
                <w:szCs w:val="20"/>
              </w:rPr>
              <w:t>Long Term</w:t>
            </w:r>
          </w:p>
          <w:p w14:paraId="7814FC34" w14:textId="77777777" w:rsidR="000F20EB" w:rsidRDefault="002E2BB2">
            <w:pPr>
              <w:ind w:right="140"/>
              <w:rPr>
                <w:sz w:val="20"/>
                <w:szCs w:val="20"/>
              </w:rPr>
            </w:pPr>
            <w:r>
              <w:rPr>
                <w:sz w:val="20"/>
                <w:szCs w:val="20"/>
              </w:rPr>
              <w:t xml:space="preserve">Each term, </w:t>
            </w:r>
            <w:proofErr w:type="gramStart"/>
            <w:r>
              <w:rPr>
                <w:sz w:val="20"/>
                <w:szCs w:val="20"/>
              </w:rPr>
              <w:t>Identified</w:t>
            </w:r>
            <w:proofErr w:type="gramEnd"/>
            <w:r>
              <w:rPr>
                <w:sz w:val="20"/>
                <w:szCs w:val="20"/>
              </w:rPr>
              <w:t xml:space="preserve"> children (FME/Q1 on Stage 2) will have increased participation in the classroom through targeted interventions</w:t>
            </w:r>
          </w:p>
        </w:tc>
      </w:tr>
    </w:tbl>
    <w:p w14:paraId="4F71A60E" w14:textId="77777777" w:rsidR="000F20EB" w:rsidRDefault="000F20EB"/>
    <w:sectPr w:rsidR="000F20EB">
      <w:footerReference w:type="default" r:id="rId9"/>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4263" w14:textId="77777777" w:rsidR="00000000" w:rsidRDefault="002E2BB2">
      <w:pPr>
        <w:spacing w:line="240" w:lineRule="auto"/>
      </w:pPr>
      <w:r>
        <w:separator/>
      </w:r>
    </w:p>
  </w:endnote>
  <w:endnote w:type="continuationSeparator" w:id="0">
    <w:p w14:paraId="527EFA9B" w14:textId="77777777" w:rsidR="00000000" w:rsidRDefault="002E2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A6CC" w14:textId="77777777" w:rsidR="000F20EB" w:rsidRDefault="000F20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6082" w14:textId="77777777" w:rsidR="00000000" w:rsidRDefault="002E2BB2">
      <w:pPr>
        <w:spacing w:line="240" w:lineRule="auto"/>
      </w:pPr>
      <w:r>
        <w:separator/>
      </w:r>
    </w:p>
  </w:footnote>
  <w:footnote w:type="continuationSeparator" w:id="0">
    <w:p w14:paraId="4CCC2592" w14:textId="77777777" w:rsidR="00000000" w:rsidRDefault="002E2B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2DDE"/>
    <w:multiLevelType w:val="multilevel"/>
    <w:tmpl w:val="8F866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7901E6"/>
    <w:multiLevelType w:val="multilevel"/>
    <w:tmpl w:val="E2A8F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EB"/>
    <w:rsid w:val="000F20EB"/>
    <w:rsid w:val="002E2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2D4F"/>
  <w15:docId w15:val="{E9721794-5C82-4897-BA49-1F076C42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2D69B"/>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C2D69B"/>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C2D69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QMg8FCym7teXsJ7UJa9yGVRLDQ==">CgMxLjAaHgoBMBIZChcICVITChF0YWJsZS5ldnl2OXFiOWM5cxofCgExEhoKGAgJUhQKEnRhYmxlLml3YXpidTR1a2RqNDgAciExUm1MNkpFRlZlMkVYS0kzdmlyWUxuemF4bW1USUdJZkU=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Penman</dc:creator>
  <cp:lastModifiedBy>Gayle Penman</cp:lastModifiedBy>
  <cp:revision>2</cp:revision>
  <dcterms:created xsi:type="dcterms:W3CDTF">2024-12-12T12:08:00Z</dcterms:created>
  <dcterms:modified xsi:type="dcterms:W3CDTF">2024-12-12T12:08:00Z</dcterms:modified>
</cp:coreProperties>
</file>