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BD" w:rsidRDefault="00E60BBD">
      <w:bookmarkStart w:id="0" w:name="_GoBack"/>
      <w:bookmarkEnd w:id="0"/>
    </w:p>
    <w:tbl>
      <w:tblPr>
        <w:tblStyle w:val="TableGrid"/>
        <w:tblpPr w:leftFromText="180" w:rightFromText="180" w:vertAnchor="text" w:horzAnchor="margin" w:tblpY="-81"/>
        <w:tblOverlap w:val="never"/>
        <w:tblW w:w="0" w:type="auto"/>
        <w:tblLook w:val="04A0" w:firstRow="1" w:lastRow="0" w:firstColumn="1" w:lastColumn="0" w:noHBand="0" w:noVBand="1"/>
      </w:tblPr>
      <w:tblGrid>
        <w:gridCol w:w="6973"/>
        <w:gridCol w:w="6973"/>
        <w:gridCol w:w="6973"/>
      </w:tblGrid>
      <w:tr w:rsidR="00E60BBD" w:rsidRPr="00AF496C" w:rsidTr="00E60BBD">
        <w:tc>
          <w:tcPr>
            <w:tcW w:w="6973" w:type="dxa"/>
          </w:tcPr>
          <w:p w:rsidR="00E60BBD" w:rsidRPr="00AF496C" w:rsidRDefault="00E60BBD" w:rsidP="00E60BBD">
            <w:pPr>
              <w:jc w:val="center"/>
              <w:rPr>
                <w:b/>
              </w:rPr>
            </w:pPr>
            <w:r w:rsidRPr="00AF496C">
              <w:rPr>
                <w:b/>
              </w:rPr>
              <w:t>QI 5.1 Curriculum</w:t>
            </w:r>
          </w:p>
          <w:p w:rsidR="00E60BBD" w:rsidRPr="00AF496C" w:rsidRDefault="00E60BBD" w:rsidP="00E60BBD">
            <w:pPr>
              <w:jc w:val="center"/>
              <w:rPr>
                <w:b/>
              </w:rPr>
            </w:pPr>
          </w:p>
          <w:p w:rsidR="00E60BBD" w:rsidRPr="00AF496C" w:rsidRDefault="00E60BBD" w:rsidP="00E60BBD">
            <w:pPr>
              <w:jc w:val="center"/>
              <w:rPr>
                <w:b/>
              </w:rPr>
            </w:pPr>
            <w:r w:rsidRPr="00AF496C">
              <w:rPr>
                <w:b/>
              </w:rPr>
              <w:t>How good is the education we provide?</w:t>
            </w:r>
          </w:p>
          <w:p w:rsidR="00E60BBD" w:rsidRPr="00AF496C" w:rsidRDefault="00E60BBD" w:rsidP="00E60BBD"/>
        </w:tc>
        <w:tc>
          <w:tcPr>
            <w:tcW w:w="6973" w:type="dxa"/>
          </w:tcPr>
          <w:p w:rsidR="00E60BBD" w:rsidRPr="00AF496C" w:rsidRDefault="00E60BBD" w:rsidP="00E60BBD">
            <w:pPr>
              <w:jc w:val="center"/>
              <w:rPr>
                <w:b/>
              </w:rPr>
            </w:pPr>
            <w:r w:rsidRPr="00AF496C">
              <w:rPr>
                <w:b/>
              </w:rPr>
              <w:t>QI 1.1 Improvements in performance</w:t>
            </w:r>
          </w:p>
          <w:p w:rsidR="00E60BBD" w:rsidRPr="00AF496C" w:rsidRDefault="00E60BBD" w:rsidP="00E60BBD">
            <w:pPr>
              <w:jc w:val="center"/>
              <w:rPr>
                <w:b/>
              </w:rPr>
            </w:pPr>
          </w:p>
          <w:p w:rsidR="00E60BBD" w:rsidRPr="00AF496C" w:rsidRDefault="00E60BBD" w:rsidP="00E60BBD">
            <w:pPr>
              <w:jc w:val="center"/>
              <w:rPr>
                <w:b/>
              </w:rPr>
            </w:pPr>
            <w:r w:rsidRPr="00AF496C">
              <w:rPr>
                <w:b/>
              </w:rPr>
              <w:t>What outcomes have we achieved?</w:t>
            </w:r>
          </w:p>
          <w:p w:rsidR="00E60BBD" w:rsidRPr="00AF496C" w:rsidRDefault="00E60BBD" w:rsidP="00E60BBD"/>
        </w:tc>
        <w:tc>
          <w:tcPr>
            <w:tcW w:w="6973" w:type="dxa"/>
          </w:tcPr>
          <w:p w:rsidR="00E60BBD" w:rsidRPr="00AF496C" w:rsidRDefault="00E60BBD" w:rsidP="00E60BBD">
            <w:pPr>
              <w:jc w:val="center"/>
              <w:rPr>
                <w:b/>
              </w:rPr>
            </w:pPr>
            <w:r w:rsidRPr="00AF496C">
              <w:rPr>
                <w:b/>
              </w:rPr>
              <w:t>Insight</w:t>
            </w:r>
          </w:p>
          <w:p w:rsidR="00E60BBD" w:rsidRPr="00AF496C" w:rsidRDefault="00E60BBD" w:rsidP="00E60BBD">
            <w:pPr>
              <w:jc w:val="center"/>
              <w:rPr>
                <w:b/>
              </w:rPr>
            </w:pPr>
          </w:p>
          <w:p w:rsidR="00E60BBD" w:rsidRPr="00AF496C" w:rsidRDefault="00E60BBD" w:rsidP="00E60BBD">
            <w:pPr>
              <w:jc w:val="center"/>
            </w:pPr>
            <w:r w:rsidRPr="00AF496C">
              <w:rPr>
                <w:b/>
              </w:rPr>
              <w:t>What does the evidence tell us?</w:t>
            </w:r>
          </w:p>
        </w:tc>
      </w:tr>
      <w:tr w:rsidR="00E60BBD" w:rsidRPr="00AF496C" w:rsidTr="00E60BBD">
        <w:tc>
          <w:tcPr>
            <w:tcW w:w="6973" w:type="dxa"/>
          </w:tcPr>
          <w:p w:rsidR="00E60BBD" w:rsidRPr="00AF496C" w:rsidRDefault="00E60BBD" w:rsidP="00E60BBD">
            <w:pPr>
              <w:pStyle w:val="ListParagraph"/>
              <w:numPr>
                <w:ilvl w:val="0"/>
                <w:numId w:val="5"/>
              </w:numPr>
            </w:pPr>
            <w:r w:rsidRPr="00AF496C">
              <w:t>Rationale &amp; design of the curriculum</w:t>
            </w:r>
          </w:p>
          <w:p w:rsidR="00E60BBD" w:rsidRPr="00AF496C" w:rsidRDefault="00E60BBD" w:rsidP="00E60BBD">
            <w:pPr>
              <w:pStyle w:val="ListParagraph"/>
              <w:numPr>
                <w:ilvl w:val="0"/>
                <w:numId w:val="5"/>
              </w:numPr>
            </w:pPr>
            <w:r w:rsidRPr="00AF496C">
              <w:t>Development of the curriculum</w:t>
            </w:r>
          </w:p>
          <w:p w:rsidR="00E60BBD" w:rsidRPr="00AF496C" w:rsidRDefault="00E60BBD" w:rsidP="00E60BBD">
            <w:pPr>
              <w:pStyle w:val="ListParagraph"/>
              <w:numPr>
                <w:ilvl w:val="0"/>
                <w:numId w:val="5"/>
              </w:numPr>
            </w:pPr>
            <w:r w:rsidRPr="00AF496C">
              <w:t>Programmes and courses</w:t>
            </w:r>
          </w:p>
          <w:p w:rsidR="00E60BBD" w:rsidRPr="00AF496C" w:rsidRDefault="00E60BBD" w:rsidP="00E60BBD">
            <w:pPr>
              <w:pStyle w:val="ListParagraph"/>
              <w:numPr>
                <w:ilvl w:val="0"/>
                <w:numId w:val="5"/>
              </w:numPr>
            </w:pPr>
            <w:r w:rsidRPr="00AF496C">
              <w:t>Transitions</w:t>
            </w:r>
          </w:p>
          <w:p w:rsidR="00E60BBD" w:rsidRPr="00AF496C" w:rsidRDefault="00E60BBD" w:rsidP="00E60BBD">
            <w:pPr>
              <w:jc w:val="center"/>
            </w:pPr>
          </w:p>
          <w:p w:rsidR="00E60BBD" w:rsidRPr="00AF496C" w:rsidRDefault="00E60BBD" w:rsidP="00E60BBD">
            <w:pPr>
              <w:jc w:val="center"/>
            </w:pPr>
          </w:p>
          <w:p w:rsidR="00E60BBD" w:rsidRDefault="00E60BBD" w:rsidP="00E60BBD">
            <w:r w:rsidRPr="00AF496C">
              <w:t>In what ways is the senior phase designed to improve attainment and achievements of all young people and ensure progression to positive and sustained post-school destinations?</w:t>
            </w:r>
          </w:p>
          <w:p w:rsidR="00FB2027" w:rsidRDefault="00FB2027" w:rsidP="00E60BBD"/>
          <w:p w:rsidR="00FB2027" w:rsidRPr="00AF496C" w:rsidRDefault="00FB2027" w:rsidP="00E60BBD">
            <w:r>
              <w:t>How does the design of the senior phase create space for more in-depth learning and allows more time to be spent on challenging learning at higher levels?</w:t>
            </w:r>
          </w:p>
          <w:p w:rsidR="00E60BBD" w:rsidRPr="00AF496C" w:rsidRDefault="00E60BBD" w:rsidP="00E60BBD"/>
          <w:p w:rsidR="00E60BBD" w:rsidRPr="00AF496C" w:rsidRDefault="00E60BBD" w:rsidP="00E60BBD">
            <w:r w:rsidRPr="00AF496C">
              <w:t>Is there a clear and shared strategy for development and assessment of literacy, numeracy</w:t>
            </w:r>
            <w:r w:rsidR="00AF496C">
              <w:t xml:space="preserve"> and HWB across the curriculum? </w:t>
            </w:r>
            <w:r w:rsidRPr="00AF496C">
              <w:t>How well does the senior phase ensure a continued focus on literacy, numeracy and HWB?</w:t>
            </w:r>
          </w:p>
          <w:p w:rsidR="00E60BBD" w:rsidRPr="00AF496C" w:rsidRDefault="00E60BBD" w:rsidP="00E60BBD"/>
          <w:p w:rsidR="00AF496C" w:rsidRPr="00AF496C" w:rsidRDefault="00E60BBD" w:rsidP="00AF496C">
            <w:r w:rsidRPr="00AF496C">
              <w:t>How well do we track, manage and support learners’ achievements pathways in the senior phase including those delivered by partners?</w:t>
            </w:r>
            <w:r w:rsidR="00AF496C">
              <w:t xml:space="preserve"> </w:t>
            </w:r>
            <w:r w:rsidR="00AF496C" w:rsidRPr="00AF496C">
              <w:t xml:space="preserve"> Do we need to be more specific about meeting individual and/or particular group needs?</w:t>
            </w:r>
          </w:p>
          <w:p w:rsidR="00E60BBD" w:rsidRPr="00AF496C" w:rsidRDefault="00E60BBD" w:rsidP="00E60BBD"/>
          <w:p w:rsidR="00E60BBD" w:rsidRPr="00AF496C" w:rsidRDefault="00E60BBD" w:rsidP="00E60BBD">
            <w:r w:rsidRPr="00AF496C">
              <w:t>What are the key improvements being made to learning programmes in the senior phase?</w:t>
            </w:r>
            <w:r w:rsidR="00AF496C">
              <w:t xml:space="preserve"> </w:t>
            </w:r>
            <w:r w:rsidRPr="00AF496C">
              <w:t>In what ways do programmes of learning in the senior phase emphasise depth and application of learning?</w:t>
            </w:r>
          </w:p>
          <w:p w:rsidR="00836B40" w:rsidRPr="00AF496C" w:rsidRDefault="00836B40" w:rsidP="00E60BBD"/>
          <w:p w:rsidR="00836B40" w:rsidRPr="00AF496C" w:rsidRDefault="00836B40" w:rsidP="00E60BBD">
            <w:r w:rsidRPr="00AF496C">
              <w:t>How well are we ensuring that young people who are likely to leave at the end of S4 have the qualifications and awards, and a range of skills for life, learning and work that will support them in progressing to further education or employment?</w:t>
            </w:r>
          </w:p>
          <w:p w:rsidR="00836B40" w:rsidRPr="00AF496C" w:rsidRDefault="00836B40" w:rsidP="00E60BBD"/>
          <w:p w:rsidR="00836B40" w:rsidRPr="00AF496C" w:rsidRDefault="00836B40" w:rsidP="00E60BBD">
            <w:r w:rsidRPr="00AF496C">
              <w:t>How well do we ensure our learners are creative, enterprising and prepared for the world of work and their future careers?</w:t>
            </w:r>
          </w:p>
          <w:p w:rsidR="00836B40" w:rsidRDefault="00836B40" w:rsidP="00E60BBD">
            <w:r w:rsidRPr="00AF496C">
              <w:t>How well do we plan the curriculum with partners to support smooth transitions for learners? How well do we use assessment information to inform transition information?</w:t>
            </w:r>
          </w:p>
          <w:p w:rsidR="00AF496C" w:rsidRDefault="00AF496C" w:rsidP="00E60BBD"/>
          <w:p w:rsidR="00AF496C" w:rsidRPr="00AF496C" w:rsidRDefault="00AF496C" w:rsidP="00E60BBD"/>
          <w:p w:rsidR="00E60BBD" w:rsidRPr="00AF496C" w:rsidRDefault="00E60BBD" w:rsidP="00E60BBD"/>
        </w:tc>
        <w:tc>
          <w:tcPr>
            <w:tcW w:w="6973" w:type="dxa"/>
          </w:tcPr>
          <w:p w:rsidR="00E60BBD" w:rsidRPr="007E2DD3" w:rsidRDefault="00E60BBD" w:rsidP="00E60BBD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7E2DD3">
              <w:rPr>
                <w:i/>
              </w:rPr>
              <w:t>Standards of attainment over time</w:t>
            </w:r>
          </w:p>
          <w:p w:rsidR="00E60BBD" w:rsidRPr="00AF496C" w:rsidRDefault="00E60BBD" w:rsidP="00E60BBD">
            <w:pPr>
              <w:pStyle w:val="ListParagraph"/>
              <w:numPr>
                <w:ilvl w:val="0"/>
                <w:numId w:val="6"/>
              </w:numPr>
            </w:pPr>
            <w:r w:rsidRPr="00AF496C">
              <w:t>Quality of learners’ achievement</w:t>
            </w:r>
          </w:p>
          <w:p w:rsidR="00E60BBD" w:rsidRPr="00AF496C" w:rsidRDefault="00E60BBD" w:rsidP="00E60BBD">
            <w:pPr>
              <w:pStyle w:val="ListParagraph"/>
              <w:numPr>
                <w:ilvl w:val="0"/>
                <w:numId w:val="6"/>
              </w:numPr>
            </w:pPr>
            <w:r w:rsidRPr="00AF496C">
              <w:t>Impact of the improvement plan</w:t>
            </w:r>
          </w:p>
          <w:p w:rsidR="00E60BBD" w:rsidRPr="00AF496C" w:rsidRDefault="00E60BBD" w:rsidP="00E60BBD">
            <w:pPr>
              <w:jc w:val="center"/>
            </w:pPr>
          </w:p>
          <w:p w:rsidR="00E60BBD" w:rsidRPr="00AF496C" w:rsidRDefault="00E60BBD" w:rsidP="00E60BBD">
            <w:pPr>
              <w:jc w:val="center"/>
            </w:pPr>
          </w:p>
          <w:p w:rsidR="00FB2027" w:rsidRDefault="00FB2027" w:rsidP="00E60BBD">
            <w:pPr>
              <w:rPr>
                <w:rFonts w:cs="Arial"/>
                <w:szCs w:val="24"/>
              </w:rPr>
            </w:pPr>
          </w:p>
          <w:p w:rsidR="00E60BBD" w:rsidRPr="00AF496C" w:rsidRDefault="00E60BBD" w:rsidP="00E60BBD">
            <w:pPr>
              <w:rPr>
                <w:rFonts w:cs="Arial"/>
                <w:szCs w:val="24"/>
              </w:rPr>
            </w:pPr>
            <w:r w:rsidRPr="00AF496C">
              <w:rPr>
                <w:rFonts w:cs="Arial"/>
                <w:szCs w:val="24"/>
              </w:rPr>
              <w:t>How well does the school support young people to attain and enter a</w:t>
            </w:r>
            <w:r w:rsidR="00A330C1">
              <w:rPr>
                <w:rFonts w:cs="Arial"/>
                <w:szCs w:val="24"/>
              </w:rPr>
              <w:t xml:space="preserve"> positive destination on leaving</w:t>
            </w:r>
            <w:r w:rsidRPr="00AF496C">
              <w:rPr>
                <w:rFonts w:cs="Arial"/>
                <w:szCs w:val="24"/>
              </w:rPr>
              <w:t xml:space="preserve"> school, latest year and trends?</w:t>
            </w:r>
          </w:p>
          <w:p w:rsidR="00E60BBD" w:rsidRPr="00AF496C" w:rsidRDefault="00E60BBD" w:rsidP="00E60BBD">
            <w:pPr>
              <w:rPr>
                <w:rFonts w:cs="Arial"/>
                <w:color w:val="FF0000"/>
                <w:szCs w:val="24"/>
              </w:rPr>
            </w:pPr>
            <w:r w:rsidRPr="00AF496C">
              <w:rPr>
                <w:rFonts w:cs="Arial"/>
                <w:color w:val="FF0000"/>
                <w:szCs w:val="24"/>
              </w:rPr>
              <w:t>(Leavers – national benchmark measures &amp; By S6 local measures including breadth v depth)</w:t>
            </w:r>
          </w:p>
          <w:p w:rsidR="00E60BBD" w:rsidRPr="00AF496C" w:rsidRDefault="00E60BBD" w:rsidP="00E60BBD">
            <w:pPr>
              <w:rPr>
                <w:rFonts w:cs="Arial"/>
                <w:color w:val="FF0000"/>
                <w:szCs w:val="24"/>
              </w:rPr>
            </w:pPr>
          </w:p>
          <w:p w:rsidR="00E60BBD" w:rsidRPr="00AF496C" w:rsidRDefault="00E60BBD" w:rsidP="00E60BBD">
            <w:pPr>
              <w:rPr>
                <w:rFonts w:cs="Arial"/>
                <w:color w:val="FF0000"/>
                <w:szCs w:val="24"/>
              </w:rPr>
            </w:pPr>
          </w:p>
          <w:p w:rsidR="00E60BBD" w:rsidRPr="00AF496C" w:rsidRDefault="00E60BBD" w:rsidP="00E60BBD">
            <w:pPr>
              <w:rPr>
                <w:rFonts w:cs="Arial"/>
                <w:szCs w:val="24"/>
              </w:rPr>
            </w:pPr>
            <w:r w:rsidRPr="00AF496C">
              <w:rPr>
                <w:rFonts w:cs="Arial"/>
                <w:szCs w:val="24"/>
              </w:rPr>
              <w:t>How well does the school</w:t>
            </w:r>
            <w:r w:rsidR="00777CD7">
              <w:rPr>
                <w:rFonts w:cs="Arial"/>
                <w:szCs w:val="24"/>
              </w:rPr>
              <w:t xml:space="preserve"> support young people to attain</w:t>
            </w:r>
            <w:r w:rsidRPr="00AF496C">
              <w:rPr>
                <w:rFonts w:cs="Arial"/>
                <w:szCs w:val="24"/>
              </w:rPr>
              <w:t xml:space="preserve"> as they move through the school, latest year and trends?</w:t>
            </w:r>
            <w:r w:rsidR="00777CD7">
              <w:rPr>
                <w:rFonts w:cs="Arial"/>
                <w:szCs w:val="24"/>
              </w:rPr>
              <w:t xml:space="preserve"> How well does the school support young people at each stage to build on prior attainment and enter a positive destination?</w:t>
            </w:r>
          </w:p>
          <w:p w:rsidR="00E60BBD" w:rsidRPr="00AF496C" w:rsidRDefault="00E60BBD" w:rsidP="00E60BBD">
            <w:pPr>
              <w:rPr>
                <w:rFonts w:cs="Arial"/>
                <w:color w:val="FF0000"/>
                <w:szCs w:val="24"/>
              </w:rPr>
            </w:pPr>
            <w:r w:rsidRPr="00AF496C">
              <w:rPr>
                <w:rFonts w:cs="Arial"/>
                <w:color w:val="FF0000"/>
                <w:szCs w:val="24"/>
              </w:rPr>
              <w:t>(By stage – local benchmarks and breadth v depth)</w:t>
            </w:r>
          </w:p>
          <w:p w:rsidR="00E60BBD" w:rsidRPr="00AF496C" w:rsidRDefault="00E60BBD" w:rsidP="00E60BBD">
            <w:pPr>
              <w:rPr>
                <w:rFonts w:cs="Arial"/>
                <w:szCs w:val="24"/>
              </w:rPr>
            </w:pPr>
          </w:p>
          <w:p w:rsidR="00E60BBD" w:rsidRPr="00AF496C" w:rsidRDefault="00E60BBD" w:rsidP="00E60BBD">
            <w:pPr>
              <w:rPr>
                <w:rFonts w:cs="Arial"/>
                <w:szCs w:val="24"/>
              </w:rPr>
            </w:pPr>
          </w:p>
          <w:p w:rsidR="00E60BBD" w:rsidRPr="00AF496C" w:rsidRDefault="00E60BBD" w:rsidP="00E60BBD">
            <w:pPr>
              <w:rPr>
                <w:rFonts w:cs="Arial"/>
                <w:szCs w:val="24"/>
              </w:rPr>
            </w:pPr>
            <w:r w:rsidRPr="00AF496C">
              <w:rPr>
                <w:rFonts w:cs="Arial"/>
                <w:szCs w:val="24"/>
              </w:rPr>
              <w:t>How well does the curriculum support young people to achieve latest year and trends?</w:t>
            </w:r>
          </w:p>
          <w:p w:rsidR="00E60BBD" w:rsidRPr="00AF496C" w:rsidRDefault="00E60BBD" w:rsidP="00E60BBD">
            <w:pPr>
              <w:rPr>
                <w:rFonts w:cs="Arial"/>
                <w:color w:val="FF0000"/>
                <w:szCs w:val="24"/>
              </w:rPr>
            </w:pPr>
            <w:r w:rsidRPr="00AF496C">
              <w:rPr>
                <w:rFonts w:cs="Arial"/>
                <w:color w:val="FF0000"/>
                <w:szCs w:val="24"/>
              </w:rPr>
              <w:t>(Curricular areas/ subjects contributing to overall performance and improving outcomes for learners</w:t>
            </w:r>
            <w:r w:rsidR="00FB2027">
              <w:rPr>
                <w:rFonts w:cs="Arial"/>
                <w:color w:val="FF0000"/>
                <w:szCs w:val="24"/>
              </w:rPr>
              <w:t>; grade distribution</w:t>
            </w:r>
            <w:r w:rsidRPr="00AF496C">
              <w:rPr>
                <w:rFonts w:cs="Arial"/>
                <w:color w:val="FF0000"/>
                <w:szCs w:val="24"/>
              </w:rPr>
              <w:t>)</w:t>
            </w:r>
          </w:p>
          <w:p w:rsidR="00E60BBD" w:rsidRPr="00AF496C" w:rsidRDefault="00E60BBD" w:rsidP="00E60BBD"/>
          <w:p w:rsidR="00E60BBD" w:rsidRPr="00AF496C" w:rsidRDefault="00E60BBD" w:rsidP="00E60BBD">
            <w:pPr>
              <w:jc w:val="center"/>
            </w:pPr>
          </w:p>
          <w:p w:rsidR="00E60BBD" w:rsidRPr="00AF496C" w:rsidRDefault="00E60BBD" w:rsidP="00E60BBD"/>
        </w:tc>
        <w:tc>
          <w:tcPr>
            <w:tcW w:w="6973" w:type="dxa"/>
          </w:tcPr>
          <w:p w:rsidR="00E60BBD" w:rsidRPr="00AF496C" w:rsidRDefault="00E60BBD" w:rsidP="00E60BBD">
            <w:pPr>
              <w:jc w:val="center"/>
            </w:pPr>
          </w:p>
          <w:p w:rsidR="00E60BBD" w:rsidRPr="00AF496C" w:rsidRDefault="00E60BBD" w:rsidP="00E60BBD">
            <w:pPr>
              <w:jc w:val="center"/>
            </w:pPr>
          </w:p>
          <w:p w:rsidR="00E60BBD" w:rsidRPr="00AF496C" w:rsidRDefault="00E60BBD" w:rsidP="00E60BBD">
            <w:pPr>
              <w:jc w:val="center"/>
            </w:pPr>
          </w:p>
          <w:p w:rsidR="00E60BBD" w:rsidRPr="00AF496C" w:rsidRDefault="00E60BBD" w:rsidP="00E60BBD">
            <w:pPr>
              <w:jc w:val="center"/>
            </w:pPr>
          </w:p>
          <w:p w:rsidR="00E60BBD" w:rsidRPr="00AF496C" w:rsidRDefault="00E60BBD" w:rsidP="00E60BBD">
            <w:pPr>
              <w:jc w:val="center"/>
            </w:pPr>
          </w:p>
          <w:p w:rsidR="000F49A2" w:rsidRPr="00AF496C" w:rsidRDefault="000F49A2" w:rsidP="00E60BBD">
            <w:pPr>
              <w:jc w:val="center"/>
            </w:pPr>
          </w:p>
          <w:p w:rsidR="00E60BBD" w:rsidRPr="00AF496C" w:rsidRDefault="00E60BBD" w:rsidP="00E60BBD">
            <w:pPr>
              <w:jc w:val="center"/>
            </w:pPr>
            <w:r w:rsidRPr="00AF496C">
              <w:t>Dashboard : National Measures</w:t>
            </w:r>
          </w:p>
          <w:p w:rsidR="00E60BBD" w:rsidRPr="00AF496C" w:rsidRDefault="00E60BBD" w:rsidP="00E60BBD">
            <w:pPr>
              <w:jc w:val="center"/>
            </w:pPr>
            <w:r w:rsidRPr="00AF496C">
              <w:t>Increasing post-school participation</w:t>
            </w:r>
          </w:p>
          <w:p w:rsidR="00E60BBD" w:rsidRPr="00AF496C" w:rsidRDefault="00E60BBD" w:rsidP="00E60BBD">
            <w:pPr>
              <w:jc w:val="center"/>
            </w:pPr>
            <w:r w:rsidRPr="00AF496C">
              <w:t>Improving attainment in literacy and numeracy</w:t>
            </w:r>
          </w:p>
          <w:p w:rsidR="00E60BBD" w:rsidRPr="00AF496C" w:rsidRDefault="00E60BBD" w:rsidP="00E60BBD">
            <w:pPr>
              <w:jc w:val="center"/>
            </w:pPr>
            <w:r w:rsidRPr="00AF496C">
              <w:t>Attainment v deprivation</w:t>
            </w:r>
          </w:p>
          <w:p w:rsidR="00E60BBD" w:rsidRPr="00AF496C" w:rsidRDefault="00E60BBD" w:rsidP="00E60BBD">
            <w:pPr>
              <w:jc w:val="center"/>
            </w:pPr>
            <w:r w:rsidRPr="00AF496C">
              <w:t>Improving attainment for all</w:t>
            </w:r>
          </w:p>
          <w:p w:rsidR="00E60BBD" w:rsidRPr="00AF496C" w:rsidRDefault="00E60BBD" w:rsidP="00E60BBD">
            <w:pPr>
              <w:jc w:val="center"/>
            </w:pPr>
          </w:p>
          <w:p w:rsidR="00E60BBD" w:rsidRPr="00AF496C" w:rsidRDefault="00E60BBD" w:rsidP="00E60BBD">
            <w:pPr>
              <w:jc w:val="center"/>
            </w:pPr>
          </w:p>
          <w:p w:rsidR="00E60BBD" w:rsidRPr="00AF496C" w:rsidRDefault="00E60BBD" w:rsidP="00E60BBD">
            <w:pPr>
              <w:jc w:val="center"/>
            </w:pPr>
            <w:r w:rsidRPr="00AF496C">
              <w:t>Dashboard: Local Measures</w:t>
            </w:r>
          </w:p>
          <w:p w:rsidR="00E60BBD" w:rsidRPr="00AF496C" w:rsidRDefault="00E60BBD" w:rsidP="00E60BBD">
            <w:pPr>
              <w:jc w:val="center"/>
            </w:pPr>
            <w:r w:rsidRPr="00AF496C">
              <w:t>Increasing post-school participation</w:t>
            </w:r>
          </w:p>
          <w:p w:rsidR="00E60BBD" w:rsidRPr="00AF496C" w:rsidRDefault="00E60BBD" w:rsidP="00E60BBD">
            <w:pPr>
              <w:jc w:val="center"/>
            </w:pPr>
            <w:r w:rsidRPr="00AF496C">
              <w:t>Improving attainment in literacy and numeracy</w:t>
            </w:r>
          </w:p>
          <w:p w:rsidR="00E60BBD" w:rsidRPr="00AF496C" w:rsidRDefault="00E60BBD" w:rsidP="00E60BBD">
            <w:pPr>
              <w:jc w:val="center"/>
            </w:pPr>
            <w:r w:rsidRPr="00AF496C">
              <w:t>Attainment v deprivation</w:t>
            </w:r>
          </w:p>
          <w:p w:rsidR="00E60BBD" w:rsidRPr="00AF496C" w:rsidRDefault="00E60BBD" w:rsidP="00E60BBD">
            <w:pPr>
              <w:jc w:val="center"/>
            </w:pPr>
            <w:r w:rsidRPr="00AF496C">
              <w:t>Improving attainment for all</w:t>
            </w:r>
          </w:p>
          <w:p w:rsidR="00E60BBD" w:rsidRPr="00AF496C" w:rsidRDefault="00E60BBD" w:rsidP="00E60BBD">
            <w:pPr>
              <w:jc w:val="center"/>
            </w:pPr>
          </w:p>
          <w:p w:rsidR="00E60BBD" w:rsidRPr="00AF496C" w:rsidRDefault="00E60BBD" w:rsidP="00E60BBD">
            <w:pPr>
              <w:jc w:val="center"/>
            </w:pPr>
          </w:p>
          <w:p w:rsidR="00E60BBD" w:rsidRPr="00AF496C" w:rsidRDefault="00E60BBD" w:rsidP="00E60BBD">
            <w:pPr>
              <w:jc w:val="center"/>
            </w:pPr>
            <w:r w:rsidRPr="00AF496C">
              <w:t>Course</w:t>
            </w:r>
          </w:p>
          <w:p w:rsidR="00E60BBD" w:rsidRPr="00AF496C" w:rsidRDefault="00E60BBD" w:rsidP="00E60BBD">
            <w:pPr>
              <w:jc w:val="center"/>
            </w:pPr>
            <w:r w:rsidRPr="00AF496C">
              <w:t>Whole course summary</w:t>
            </w:r>
          </w:p>
          <w:p w:rsidR="00E60BBD" w:rsidRPr="00AF496C" w:rsidRDefault="00E60BBD" w:rsidP="00E60BBD">
            <w:pPr>
              <w:jc w:val="center"/>
            </w:pPr>
            <w:r w:rsidRPr="00AF496C">
              <w:t>Breadth &amp; depth : leavers</w:t>
            </w:r>
          </w:p>
          <w:p w:rsidR="00E60BBD" w:rsidRPr="00AF496C" w:rsidRDefault="00E60BBD" w:rsidP="00E60BBD">
            <w:pPr>
              <w:jc w:val="center"/>
            </w:pPr>
            <w:r w:rsidRPr="00AF496C">
              <w:t>Breadth&amp; depth : all candidates</w:t>
            </w:r>
          </w:p>
          <w:p w:rsidR="00E60BBD" w:rsidRPr="00AF496C" w:rsidRDefault="00E60BBD" w:rsidP="00E60BBD">
            <w:pPr>
              <w:jc w:val="center"/>
            </w:pPr>
            <w:r w:rsidRPr="00AF496C">
              <w:t>Curricular areas : All curricular areas</w:t>
            </w:r>
          </w:p>
          <w:p w:rsidR="00E60BBD" w:rsidRPr="00AF496C" w:rsidRDefault="00E60BBD" w:rsidP="00E60BBD">
            <w:pPr>
              <w:jc w:val="center"/>
            </w:pPr>
            <w:r w:rsidRPr="00AF496C">
              <w:t>Curricular areas : Singles curricular area</w:t>
            </w:r>
          </w:p>
          <w:p w:rsidR="00E60BBD" w:rsidRPr="00AF496C" w:rsidRDefault="00E60BBD" w:rsidP="00E60BBD">
            <w:pPr>
              <w:jc w:val="center"/>
            </w:pPr>
            <w:r w:rsidRPr="00AF496C">
              <w:t>Local course measure: Attainment in selected graded course - % of resulted entries</w:t>
            </w:r>
          </w:p>
          <w:p w:rsidR="00E60BBD" w:rsidRPr="00AF496C" w:rsidRDefault="00E60BBD" w:rsidP="00E60BBD">
            <w:pPr>
              <w:jc w:val="center"/>
            </w:pPr>
            <w:r w:rsidRPr="00AF496C">
              <w:t>Local course measure: Attainment in selected ungraded course</w:t>
            </w:r>
          </w:p>
          <w:p w:rsidR="00E60BBD" w:rsidRPr="00AF496C" w:rsidRDefault="00E60BBD" w:rsidP="00E60BBD">
            <w:pPr>
              <w:jc w:val="center"/>
            </w:pPr>
            <w:r w:rsidRPr="00AF496C">
              <w:t>Local course measure: course relative value – selected graded course</w:t>
            </w:r>
          </w:p>
          <w:p w:rsidR="00E60BBD" w:rsidRPr="00AF496C" w:rsidRDefault="00E60BBD" w:rsidP="00E60BBD">
            <w:pPr>
              <w:jc w:val="center"/>
            </w:pPr>
            <w:r w:rsidRPr="00AF496C">
              <w:t>Local course measure : course relative value – all graded courses, % of resulted entries</w:t>
            </w:r>
          </w:p>
          <w:p w:rsidR="00E60BBD" w:rsidRPr="00AF496C" w:rsidRDefault="00E60BBD" w:rsidP="00E60BBD">
            <w:pPr>
              <w:jc w:val="center"/>
            </w:pPr>
          </w:p>
          <w:p w:rsidR="00E60BBD" w:rsidRPr="00AF496C" w:rsidRDefault="00E60BBD" w:rsidP="00E60BBD"/>
        </w:tc>
      </w:tr>
    </w:tbl>
    <w:p w:rsidR="00E3599D" w:rsidRDefault="00E3599D" w:rsidP="00E36759"/>
    <w:sectPr w:rsidR="00E3599D" w:rsidSect="00E60BBD">
      <w:headerReference w:type="default" r:id="rId8"/>
      <w:footerReference w:type="default" r:id="rId9"/>
      <w:pgSz w:w="23814" w:h="16839" w:orient="landscape" w:code="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D7" w:rsidRDefault="00777CD7">
      <w:pPr>
        <w:spacing w:line="240" w:lineRule="auto"/>
      </w:pPr>
      <w:r>
        <w:separator/>
      </w:r>
    </w:p>
  </w:endnote>
  <w:endnote w:type="continuationSeparator" w:id="0">
    <w:p w:rsidR="00777CD7" w:rsidRDefault="00777C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D7" w:rsidRPr="0067486A" w:rsidRDefault="00777CD7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D7" w:rsidRDefault="00777CD7">
      <w:pPr>
        <w:spacing w:line="240" w:lineRule="auto"/>
      </w:pPr>
      <w:r>
        <w:separator/>
      </w:r>
    </w:p>
  </w:footnote>
  <w:footnote w:type="continuationSeparator" w:id="0">
    <w:p w:rsidR="00777CD7" w:rsidRDefault="00777C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D7" w:rsidRPr="0067486A" w:rsidRDefault="00777CD7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57B920D3"/>
    <w:multiLevelType w:val="hybridMultilevel"/>
    <w:tmpl w:val="D8500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AA029EA"/>
    <w:multiLevelType w:val="hybridMultilevel"/>
    <w:tmpl w:val="3CA6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BD"/>
    <w:rsid w:val="000F49A2"/>
    <w:rsid w:val="00100021"/>
    <w:rsid w:val="001267F7"/>
    <w:rsid w:val="00157346"/>
    <w:rsid w:val="00192DC7"/>
    <w:rsid w:val="002F3688"/>
    <w:rsid w:val="003F2479"/>
    <w:rsid w:val="00411FC4"/>
    <w:rsid w:val="0041405F"/>
    <w:rsid w:val="0067486A"/>
    <w:rsid w:val="006D26F7"/>
    <w:rsid w:val="00777CD7"/>
    <w:rsid w:val="007E2DD3"/>
    <w:rsid w:val="00836B40"/>
    <w:rsid w:val="00952710"/>
    <w:rsid w:val="009F71B8"/>
    <w:rsid w:val="00A330C1"/>
    <w:rsid w:val="00A56EBA"/>
    <w:rsid w:val="00A856E4"/>
    <w:rsid w:val="00A90A53"/>
    <w:rsid w:val="00AB54FF"/>
    <w:rsid w:val="00AC310B"/>
    <w:rsid w:val="00AE01CB"/>
    <w:rsid w:val="00AF496C"/>
    <w:rsid w:val="00C86FBA"/>
    <w:rsid w:val="00E3599D"/>
    <w:rsid w:val="00E36759"/>
    <w:rsid w:val="00E60BBD"/>
    <w:rsid w:val="00F167F5"/>
    <w:rsid w:val="00FB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60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BBD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uppressAutoHyphens/>
      <w:spacing w:line="240" w:lineRule="auto"/>
      <w:ind w:left="720"/>
      <w:contextualSpacing/>
      <w:jc w:val="left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60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BBD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uppressAutoHyphens/>
      <w:spacing w:line="240" w:lineRule="auto"/>
      <w:ind w:left="720"/>
      <w:contextualSpacing/>
      <w:jc w:val="lef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E3B4171D0C94EAC75EC5E5DFDEF9F" ma:contentTypeVersion="" ma:contentTypeDescription="Create a new document." ma:contentTypeScope="" ma:versionID="c15c84440a3afb1fc1e7e909b49160ce">
  <xsd:schema xmlns:xsd="http://www.w3.org/2001/XMLSchema" xmlns:xs="http://www.w3.org/2001/XMLSchema" xmlns:p="http://schemas.microsoft.com/office/2006/metadata/properties" xmlns:ns1="http://schemas.microsoft.com/sharepoint/v3" xmlns:ns2="356EE878-A504-4926-9730-9EAF39C004ED" xmlns:ns3="12459f61-1e73-41b4-9dd7-e7737d0a3c13" xmlns:ns4="4da5a69c-93f0-4cf8-8d9b-f6bc789720d3" targetNamespace="http://schemas.microsoft.com/office/2006/metadata/properties" ma:root="true" ma:fieldsID="d974f3f710b3037943d4cd63be6ed926" ns1:_="" ns2:_="" ns3:_="" ns4:_="">
    <xsd:import namespace="http://schemas.microsoft.com/sharepoint/v3"/>
    <xsd:import namespace="356EE878-A504-4926-9730-9EAF39C004ED"/>
    <xsd:import namespace="12459f61-1e73-41b4-9dd7-e7737d0a3c13"/>
    <xsd:import namespace="4da5a69c-93f0-4cf8-8d9b-f6bc789720d3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4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9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0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1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3" nillable="true" ma:displayName="Number of Likes" ma:internalName="LikesCount">
      <xsd:simpleType>
        <xsd:restriction base="dms:Unknown"/>
      </xsd:simpleType>
    </xsd:element>
    <xsd:element name="LikedBy" ma:index="14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EE878-A504-4926-9730-9EAF39C004ED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description="The #socialstudies tag is added automatically Add other tags you think appropriate, eg #businesseducation, #modernstudies, #geography, #scottishstudies, #history" ma:internalName="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59f61-1e73-41b4-9dd7-e7737d0a3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5a69c-93f0-4cf8-8d9b-f6bc789720d3" elementFormDefault="qualified">
    <xsd:import namespace="http://schemas.microsoft.com/office/2006/documentManagement/types"/>
    <xsd:import namespace="http://schemas.microsoft.com/office/infopath/2007/PartnerControls"/>
    <xsd:element name="SharingHintHash" ma:index="16" nillable="true" ma:displayName="Sharing Hint Hash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356EE878-A504-4926-9730-9EAF39C004ED">#insight</Tags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42AFAF2-5740-4C61-A26A-2C0FB7B262CF}"/>
</file>

<file path=customXml/itemProps2.xml><?xml version="1.0" encoding="utf-8"?>
<ds:datastoreItem xmlns:ds="http://schemas.openxmlformats.org/officeDocument/2006/customXml" ds:itemID="{9D1F573F-FAC4-4E6B-B77B-FAC2B5976347}"/>
</file>

<file path=customXml/itemProps3.xml><?xml version="1.0" encoding="utf-8"?>
<ds:datastoreItem xmlns:ds="http://schemas.openxmlformats.org/officeDocument/2006/customXml" ds:itemID="{7C94350F-F9A3-4CA7-BB63-4E15C87061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n310419</dc:creator>
  <cp:lastModifiedBy>z605955</cp:lastModifiedBy>
  <cp:revision>2</cp:revision>
  <cp:lastPrinted>2015-02-12T14:52:00Z</cp:lastPrinted>
  <dcterms:created xsi:type="dcterms:W3CDTF">2015-06-22T07:17:00Z</dcterms:created>
  <dcterms:modified xsi:type="dcterms:W3CDTF">2015-06-22T07:17:00Z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0x010100658E3B4171D0C94EAC75EC5E5DFDEF9F</vt:lpwstr>
  </property>
  <property fmtid="{D5CDD505-2E9C-101B-9397-08002B2CF9AE}" pid="3" name="_AdHocReviewCycleID">
    <vt:i4>-1084852501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Jill.Pringle@edinburgh.gov.uk</vt:lpwstr>
  </property>
  <property fmtid="{D5CDD505-2E9C-101B-9397-08002B2CF9AE}" pid="7" name="_AuthorEmailDisplayName">
    <vt:lpwstr>Jill Pringle</vt:lpwstr>
  </property>
</Properties>
</file>