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8DE" w14:textId="252461C8" w:rsidR="00533019" w:rsidRPr="000655B0" w:rsidRDefault="008714E1" w:rsidP="000655B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4560" behindDoc="1" locked="0" layoutInCell="1" allowOverlap="1" wp14:anchorId="1251D885" wp14:editId="05ADE3CE">
            <wp:simplePos x="0" y="0"/>
            <wp:positionH relativeFrom="page">
              <wp:posOffset>5293995</wp:posOffset>
            </wp:positionH>
            <wp:positionV relativeFrom="page">
              <wp:posOffset>4364496</wp:posOffset>
            </wp:positionV>
            <wp:extent cx="4524743" cy="4524756"/>
            <wp:effectExtent l="0" t="0" r="0" b="9525"/>
            <wp:wrapTight wrapText="bothSides">
              <wp:wrapPolygon edited="0">
                <wp:start x="13915" y="0"/>
                <wp:lineTo x="9640" y="546"/>
                <wp:lineTo x="6093" y="1182"/>
                <wp:lineTo x="6093" y="1637"/>
                <wp:lineTo x="5275" y="2092"/>
                <wp:lineTo x="3911" y="3001"/>
                <wp:lineTo x="2547" y="4547"/>
                <wp:lineTo x="1637" y="6003"/>
                <wp:lineTo x="0" y="7367"/>
                <wp:lineTo x="637" y="8913"/>
                <wp:lineTo x="455" y="10368"/>
                <wp:lineTo x="455" y="11823"/>
                <wp:lineTo x="728" y="13278"/>
                <wp:lineTo x="1182" y="14733"/>
                <wp:lineTo x="1910" y="16189"/>
                <wp:lineTo x="3001" y="17644"/>
                <wp:lineTo x="4638" y="19099"/>
                <wp:lineTo x="6639" y="20554"/>
                <wp:lineTo x="7094" y="21555"/>
                <wp:lineTo x="7549" y="21555"/>
                <wp:lineTo x="13824" y="20736"/>
                <wp:lineTo x="14188" y="20554"/>
                <wp:lineTo x="16916" y="19099"/>
                <wp:lineTo x="18462" y="17644"/>
                <wp:lineTo x="19645" y="16189"/>
                <wp:lineTo x="20554" y="14733"/>
                <wp:lineTo x="21464" y="14370"/>
                <wp:lineTo x="21464" y="14188"/>
                <wp:lineTo x="21009" y="11823"/>
                <wp:lineTo x="20918" y="8913"/>
                <wp:lineTo x="19917" y="6003"/>
                <wp:lineTo x="18917" y="4547"/>
                <wp:lineTo x="17644" y="3092"/>
                <wp:lineTo x="16371" y="2183"/>
                <wp:lineTo x="15461" y="1637"/>
                <wp:lineTo x="14370" y="0"/>
                <wp:lineTo x="13915" y="0"/>
              </wp:wrapPolygon>
            </wp:wrapTight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743" cy="452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7D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331B6F" wp14:editId="190D6F21">
                <wp:simplePos x="0" y="0"/>
                <wp:positionH relativeFrom="page">
                  <wp:posOffset>7847965</wp:posOffset>
                </wp:positionH>
                <wp:positionV relativeFrom="page">
                  <wp:posOffset>2556510</wp:posOffset>
                </wp:positionV>
                <wp:extent cx="6768000" cy="3600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60000"/>
                        </a:xfrm>
                        <a:prstGeom prst="rect">
                          <a:avLst/>
                        </a:prstGeom>
                        <a:solidFill>
                          <a:srgbClr val="0082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AA910" w14:textId="224D1232" w:rsidR="005C684D" w:rsidRPr="000655B0" w:rsidRDefault="000655B0" w:rsidP="000655B0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QUALITY OF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1B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7.95pt;margin-top:201.3pt;width:532.9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" fillcolor="#0082ca" stroked="f" strokeweight=".5pt">
                <v:textbox>
                  <w:txbxContent>
                    <w:p w14:paraId="50AAA910" w14:textId="224D1232" w:rsidR="005C684D" w:rsidRPr="000655B0" w:rsidRDefault="000655B0" w:rsidP="000655B0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QUALITY OF TEACHING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84D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34FE365" wp14:editId="02D1B2E1">
                <wp:simplePos x="0" y="0"/>
                <wp:positionH relativeFrom="page">
                  <wp:posOffset>540385</wp:posOffset>
                </wp:positionH>
                <wp:positionV relativeFrom="page">
                  <wp:posOffset>2916555</wp:posOffset>
                </wp:positionV>
                <wp:extent cx="6768000" cy="39600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960000"/>
                        </a:xfrm>
                        <a:prstGeom prst="rect">
                          <a:avLst/>
                        </a:prstGeom>
                        <a:solidFill>
                          <a:srgbClr val="00B3E3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5183"/>
                            </w:tblGrid>
                            <w:tr w:rsidR="000655B0" w14:paraId="74676738" w14:textId="77777777" w:rsidTr="00DD70E7">
                              <w:trPr>
                                <w:trHeight w:val="5950"/>
                              </w:trPr>
                              <w:tc>
                                <w:tcPr>
                                  <w:tcW w:w="5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D0354" w14:textId="05129D67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6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Positive relationships in place between staff and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learners.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 ethos of mutual respect exists which is conducive to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and teaching.</w:t>
                                  </w:r>
                                </w:p>
                                <w:p w14:paraId="7A3CF1C3" w14:textId="72493BD5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6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Ongoing learning experiences are underpinned by school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vision, values and aims.</w:t>
                                  </w:r>
                                </w:p>
                                <w:p w14:paraId="011ACE5B" w14:textId="47386F7D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7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Learners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have an understanding of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their rights and respect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for the rights of others.</w:t>
                                  </w:r>
                                </w:p>
                                <w:p w14:paraId="3605BC0A" w14:textId="3CAC8102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7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Learners’ wellbeing is a consistently high priority across all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classes.</w:t>
                                  </w:r>
                                </w:p>
                                <w:p w14:paraId="623C071C" w14:textId="62C9228F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7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 are motivated and engage effectively with their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learning. Opportunities to exercise choice and make use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of real-world contexts ensures personalisation, meaning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and relevance.</w:t>
                                  </w:r>
                                </w:p>
                                <w:p w14:paraId="4A47A8EE" w14:textId="3C2CCEA5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adjustRightInd w:val="0"/>
                                    <w:spacing w:beforeLines="40" w:before="96"/>
                                    <w:ind w:left="284" w:hanging="177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 are supported by a variety of high-quality,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innovative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 creative teaching approaches, including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 use of digital technologies.</w:t>
                                  </w:r>
                                </w:p>
                                <w:p w14:paraId="56952D41" w14:textId="77777777" w:rsidR="000655B0" w:rsidRPr="000D6AE9" w:rsidRDefault="00DD70E7" w:rsidP="002C546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spacing w:beforeLines="40" w:before="96"/>
                                    <w:ind w:left="284" w:hanging="177"/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activities meet the developmental needs of all.</w:t>
                                  </w:r>
                                </w:p>
                                <w:p w14:paraId="74AFF192" w14:textId="237FADC0" w:rsidR="000D6AE9" w:rsidRPr="000D6AE9" w:rsidRDefault="000D6AE9" w:rsidP="000D6AE9">
                                  <w:pPr>
                                    <w:widowControl/>
                                    <w:adjustRightInd w:val="0"/>
                                    <w:spacing w:beforeLines="200" w:before="480"/>
                                    <w:rPr>
                                      <w:rFonts w:ascii="Arial-Black" w:eastAsiaTheme="minorHAnsi" w:hAnsi="Arial-Black" w:cs="Arial-Black"/>
                                      <w:b/>
                                      <w:bCs/>
                                      <w:color w:val="1A1A1A"/>
                                    </w:rPr>
                                  </w:pPr>
                                  <w:r w:rsidRPr="000D6AE9">
                                    <w:rPr>
                                      <w:rFonts w:ascii="Arial-Black" w:eastAsiaTheme="minorHAnsi" w:hAnsi="Arial-Black" w:cs="Arial-Black"/>
                                      <w:b/>
                                      <w:bCs/>
                                      <w:color w:val="1A1A1A"/>
                                    </w:rPr>
                                    <w:t>Consider disclaimer</w:t>
                                  </w:r>
                                  <w:r w:rsidRPr="000D6AE9">
                                    <w:rPr>
                                      <w:rFonts w:ascii="Arial-Black" w:eastAsiaTheme="minorHAnsi" w:hAnsi="Arial-Black" w:cs="Arial-Black"/>
                                      <w:b/>
                                      <w:bCs/>
                                      <w:color w:val="1A1A1A"/>
                                    </w:rPr>
                                    <w:br/>
                                  </w:r>
                                  <w:r w:rsidRPr="000D6AE9">
                                    <w:rPr>
                                      <w:rFonts w:ascii="Arial-Black" w:eastAsiaTheme="minorHAnsi" w:hAnsi="Arial-Black" w:cs="Arial-Black"/>
                                      <w:b/>
                                      <w:bCs/>
                                      <w:color w:val="1A1A1A"/>
                                    </w:rPr>
                                    <w:t>re. statements being interlinked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DA51F" w14:textId="5062B5CA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beforeLines="40" w:before="96"/>
                                    <w:ind w:left="284" w:hanging="178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 are increasingly responsible for and actively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involved in planning and leading learning. Their views are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sought,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valued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 acted upon across the school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wider community.</w:t>
                                  </w:r>
                                </w:p>
                                <w:p w14:paraId="1105826A" w14:textId="2CFE2CEB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beforeLines="40" w:before="96"/>
                                    <w:ind w:left="284" w:hanging="178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 are supported in the development of skills for the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21st century (critical thinking, communication,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collaboration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 creativity) and attributes within the 4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capacities.</w:t>
                                  </w:r>
                                </w:p>
                                <w:p w14:paraId="5C786042" w14:textId="68E3B5A9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beforeLines="40" w:before="96"/>
                                    <w:ind w:left="284" w:hanging="178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Learners have an increasingly accurate understanding of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their own and others’ learning and are encouraged</w:t>
                                  </w:r>
                                  <w:r w:rsid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to talk about strengths and identify next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steps.</w:t>
                                  </w:r>
                                </w:p>
                                <w:p w14:paraId="1CD3621B" w14:textId="77A3C03C" w:rsidR="005C0111" w:rsidRPr="005C0111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beforeLines="40" w:before="96"/>
                                    <w:ind w:left="284" w:hanging="178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Learners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are able to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articulate their</w:t>
                                  </w:r>
                                  <w:r w:rsid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developing skills and value these</w:t>
                                  </w:r>
                                  <w:r w:rsid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 terms of future learning and</w:t>
                                  </w:r>
                                  <w:r w:rsid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career pathways.</w:t>
                                  </w:r>
                                </w:p>
                              </w:tc>
                            </w:tr>
                          </w:tbl>
                          <w:p w14:paraId="2849D087" w14:textId="77777777" w:rsidR="00756237" w:rsidRPr="005C684D" w:rsidRDefault="00756237" w:rsidP="002C546A">
                            <w:pPr>
                              <w:tabs>
                                <w:tab w:val="left" w:pos="567"/>
                              </w:tabs>
                              <w:spacing w:beforeLines="40" w:before="96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E365" id="Text Box 4" o:spid="_x0000_s1027" type="#_x0000_t202" style="position:absolute;margin-left:42.55pt;margin-top:229.65pt;width:532.9pt;height:311.8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" fillcolor="#00b3e3" stroked="f" strokeweight=".5pt">
                <v:fill opacity="13107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5183"/>
                      </w:tblGrid>
                      <w:tr w:rsidR="000655B0" w14:paraId="74676738" w14:textId="77777777" w:rsidTr="00DD70E7">
                        <w:trPr>
                          <w:trHeight w:val="5950"/>
                        </w:trPr>
                        <w:tc>
                          <w:tcPr>
                            <w:tcW w:w="5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D0354" w14:textId="05129D67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6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Positive relationships in place between staff and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learners.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 ethos of mutual respect exists which is conducive to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and teaching.</w:t>
                            </w:r>
                          </w:p>
                          <w:p w14:paraId="7A3CF1C3" w14:textId="72493BD5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6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Ongoing learning experiences are underpinned by school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vision, values and aims.</w:t>
                            </w:r>
                          </w:p>
                          <w:p w14:paraId="011ACE5B" w14:textId="47386F7D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7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Learners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have an understanding of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their rights and respect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for the rights of others.</w:t>
                            </w:r>
                          </w:p>
                          <w:p w14:paraId="3605BC0A" w14:textId="3CAC8102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7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Learners’ wellbeing is a consistently high priority across all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classes.</w:t>
                            </w:r>
                          </w:p>
                          <w:p w14:paraId="623C071C" w14:textId="62C9228F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7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 are motivated and engage effectively with their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learning. Opportunities to exercise choice and make use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of real-world contexts ensures personalisation, meaning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and relevance.</w:t>
                            </w:r>
                          </w:p>
                          <w:p w14:paraId="4A47A8EE" w14:textId="3C2CCEA5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adjustRightInd w:val="0"/>
                              <w:spacing w:beforeLines="40" w:before="96"/>
                              <w:ind w:left="284" w:hanging="177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 are supported by a variety of high-quality,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innovative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 creative teaching approaches, including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 use of digital technologies.</w:t>
                            </w:r>
                          </w:p>
                          <w:p w14:paraId="56952D41" w14:textId="77777777" w:rsidR="000655B0" w:rsidRPr="000D6AE9" w:rsidRDefault="00DD70E7" w:rsidP="002C5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beforeLines="40" w:before="96"/>
                              <w:ind w:left="284" w:hanging="177"/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activities meet the developmental needs of all.</w:t>
                            </w:r>
                          </w:p>
                          <w:p w14:paraId="74AFF192" w14:textId="237FADC0" w:rsidR="000D6AE9" w:rsidRPr="000D6AE9" w:rsidRDefault="000D6AE9" w:rsidP="000D6AE9">
                            <w:pPr>
                              <w:widowControl/>
                              <w:adjustRightInd w:val="0"/>
                              <w:spacing w:beforeLines="200" w:before="480"/>
                              <w:rPr>
                                <w:rFonts w:ascii="Arial-Black" w:eastAsiaTheme="minorHAnsi" w:hAnsi="Arial-Black" w:cs="Arial-Black"/>
                                <w:b/>
                                <w:bCs/>
                                <w:color w:val="1A1A1A"/>
                              </w:rPr>
                            </w:pPr>
                            <w:r w:rsidRPr="000D6AE9">
                              <w:rPr>
                                <w:rFonts w:ascii="Arial-Black" w:eastAsiaTheme="minorHAnsi" w:hAnsi="Arial-Black" w:cs="Arial-Black"/>
                                <w:b/>
                                <w:bCs/>
                                <w:color w:val="1A1A1A"/>
                              </w:rPr>
                              <w:t>Consider disclaimer</w:t>
                            </w:r>
                            <w:r w:rsidRPr="000D6AE9">
                              <w:rPr>
                                <w:rFonts w:ascii="Arial-Black" w:eastAsiaTheme="minorHAnsi" w:hAnsi="Arial-Black" w:cs="Arial-Black"/>
                                <w:b/>
                                <w:bCs/>
                                <w:color w:val="1A1A1A"/>
                              </w:rPr>
                              <w:br/>
                            </w:r>
                            <w:r w:rsidRPr="000D6AE9">
                              <w:rPr>
                                <w:rFonts w:ascii="Arial-Black" w:eastAsiaTheme="minorHAnsi" w:hAnsi="Arial-Black" w:cs="Arial-Black"/>
                                <w:b/>
                                <w:bCs/>
                                <w:color w:val="1A1A1A"/>
                              </w:rPr>
                              <w:t>re. statements being interlinked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DA51F" w14:textId="5062B5CA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beforeLines="40" w:before="96"/>
                              <w:ind w:left="284" w:hanging="178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 are increasingly responsible for and actively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involved in planning and leading learning. Their views are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sought,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valued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 acted upon across the school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wider community.</w:t>
                            </w:r>
                          </w:p>
                          <w:p w14:paraId="1105826A" w14:textId="2CFE2CEB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beforeLines="40" w:before="96"/>
                              <w:ind w:left="284" w:hanging="178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 are supported in the development of skills for the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21st century (critical thinking, communication,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collaboration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 creativity) and attributes within the 4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capacities.</w:t>
                            </w:r>
                          </w:p>
                          <w:p w14:paraId="5C786042" w14:textId="68E3B5A9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beforeLines="40" w:before="96"/>
                              <w:ind w:left="284" w:hanging="178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Learners have an increasingly accurate understanding of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their own and others’ learning and are encouraged</w:t>
                            </w:r>
                            <w:r w:rsid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to talk about strengths and identify next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steps.</w:t>
                            </w:r>
                          </w:p>
                          <w:p w14:paraId="1CD3621B" w14:textId="77A3C03C" w:rsidR="005C0111" w:rsidRPr="005C0111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beforeLines="40" w:before="96"/>
                              <w:ind w:left="284" w:hanging="178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Learners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are able to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articulate their</w:t>
                            </w:r>
                            <w:r w:rsid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developing skills and value these</w:t>
                            </w:r>
                            <w:r w:rsid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 terms of future learning and</w:t>
                            </w:r>
                            <w:r w:rsid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career pathways.</w:t>
                            </w:r>
                          </w:p>
                        </w:tc>
                      </w:tr>
                    </w:tbl>
                    <w:p w14:paraId="2849D087" w14:textId="77777777" w:rsidR="00756237" w:rsidRPr="005C684D" w:rsidRDefault="00756237" w:rsidP="002C546A">
                      <w:pPr>
                        <w:tabs>
                          <w:tab w:val="left" w:pos="567"/>
                        </w:tabs>
                        <w:spacing w:beforeLines="40" w:before="96"/>
                        <w:ind w:left="28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84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67FE97" wp14:editId="14BC1629">
                <wp:simplePos x="0" y="0"/>
                <wp:positionH relativeFrom="page">
                  <wp:posOffset>540385</wp:posOffset>
                </wp:positionH>
                <wp:positionV relativeFrom="page">
                  <wp:posOffset>2556510</wp:posOffset>
                </wp:positionV>
                <wp:extent cx="6768000" cy="3600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60000"/>
                        </a:xfrm>
                        <a:prstGeom prst="rect">
                          <a:avLst/>
                        </a:prstGeom>
                        <a:solidFill>
                          <a:srgbClr val="00B3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58BF7" w14:textId="4584B933" w:rsidR="005C684D" w:rsidRPr="000655B0" w:rsidRDefault="00C76D82" w:rsidP="000655B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655B0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LEARNING</w:t>
                            </w:r>
                            <w:r w:rsidR="00096541" w:rsidRPr="000655B0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AND</w:t>
                            </w:r>
                            <w:r w:rsidR="000655B0" w:rsidRPr="000655B0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FE97" id="Text Box 5" o:spid="_x0000_s1028" type="#_x0000_t202" style="position:absolute;margin-left:42.55pt;margin-top:201.3pt;width:532.9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" fillcolor="#00b3e3" stroked="f" strokeweight=".5pt">
                <v:textbox>
                  <w:txbxContent>
                    <w:p w14:paraId="12E58BF7" w14:textId="4584B933" w:rsidR="005C684D" w:rsidRPr="000655B0" w:rsidRDefault="00C76D82" w:rsidP="000655B0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0655B0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LEARNING</w:t>
                      </w:r>
                      <w:r w:rsidR="00096541" w:rsidRPr="000655B0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AND</w:t>
                      </w:r>
                      <w:r w:rsidR="000655B0" w:rsidRPr="000655B0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1A35">
        <w:rPr>
          <w:noProof/>
        </w:rPr>
        <mc:AlternateContent>
          <mc:Choice Requires="wps">
            <w:drawing>
              <wp:anchor distT="0" distB="0" distL="114300" distR="114300" simplePos="0" relativeHeight="487553536" behindDoc="0" locked="0" layoutInCell="1" allowOverlap="1" wp14:anchorId="179F6DAC" wp14:editId="4D18DEA3">
                <wp:simplePos x="0" y="0"/>
                <wp:positionH relativeFrom="page">
                  <wp:posOffset>7849235</wp:posOffset>
                </wp:positionH>
                <wp:positionV relativeFrom="page">
                  <wp:posOffset>7560310</wp:posOffset>
                </wp:positionV>
                <wp:extent cx="6768000" cy="241200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2412000"/>
                        </a:xfrm>
                        <a:prstGeom prst="rect">
                          <a:avLst/>
                        </a:prstGeom>
                        <a:solidFill>
                          <a:srgbClr val="00B3E3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5183"/>
                            </w:tblGrid>
                            <w:tr w:rsidR="005C0111" w14:paraId="0E48599F" w14:textId="77777777" w:rsidTr="00834F7A">
                              <w:trPr>
                                <w:trHeight w:val="5950"/>
                              </w:trPr>
                              <w:tc>
                                <w:tcPr>
                                  <w:tcW w:w="5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55D918" w14:textId="360D1479" w:rsidR="005C0111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2587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Planning is proportionate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and manageable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clearly identifies what is to be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learned and assessed in all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areas of the curriculum. Learners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are involved in the planning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process.</w:t>
                                  </w:r>
                                </w:p>
                                <w:p w14:paraId="11AE913B" w14:textId="046E2FA3" w:rsidR="005C0111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1311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Effective tracking and monitoring of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attainment across all areas of the curriculum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provides reliable, accurate and up to date data regarding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 progress of all learners.</w:t>
                                  </w:r>
                                </w:p>
                                <w:p w14:paraId="4298A663" w14:textId="2794A02E" w:rsidR="00DD70E7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Analysis of such data leads to appropriate interventions to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address gaps in attainment and achievement.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Interventions are regularly reviewed for impact.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E1925" w14:textId="206D3759" w:rsidR="005C0111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Tracking and monitoring processes include analysis of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data linked to any barriers to learning. This may include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SIMD profiles or any identified additional support need. As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 result, pupils’ needs are well identified across the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school.</w:t>
                                  </w:r>
                                </w:p>
                                <w:p w14:paraId="5FC5F0EE" w14:textId="32E246AA" w:rsidR="005C0111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Analysis of data including comparator data informs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improvement priorities, planning and practice.</w:t>
                                  </w:r>
                                </w:p>
                                <w:p w14:paraId="12BA407B" w14:textId="2C4BF2E4" w:rsidR="00DD70E7" w:rsidRPr="005C0111" w:rsidRDefault="005C0111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Identified areas for improvement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are monitored and measured for impact.</w:t>
                                  </w:r>
                                </w:p>
                              </w:tc>
                            </w:tr>
                          </w:tbl>
                          <w:p w14:paraId="08A2DF50" w14:textId="77777777" w:rsidR="00DD70E7" w:rsidRPr="005C684D" w:rsidRDefault="00DD70E7" w:rsidP="002C546A">
                            <w:pPr>
                              <w:tabs>
                                <w:tab w:val="left" w:pos="567"/>
                              </w:tabs>
                              <w:spacing w:beforeLines="40" w:before="96"/>
                              <w:ind w:left="284"/>
                            </w:pPr>
                          </w:p>
                          <w:p w14:paraId="0EF1818E" w14:textId="77777777" w:rsidR="00521A35" w:rsidRPr="005C684D" w:rsidRDefault="00521A35" w:rsidP="002C546A">
                            <w:pPr>
                              <w:spacing w:beforeLines="40" w:before="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6DAC" id="Text Box 18" o:spid="_x0000_s1029" type="#_x0000_t202" style="position:absolute;margin-left:618.05pt;margin-top:595.3pt;width:532.9pt;height:189.9pt;z-index:4875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" fillcolor="#00b3e3" stroked="f" strokeweight=".5pt">
                <v:fill opacity="13107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5183"/>
                      </w:tblGrid>
                      <w:tr w:rsidR="005C0111" w14:paraId="0E48599F" w14:textId="77777777" w:rsidTr="00834F7A">
                        <w:trPr>
                          <w:trHeight w:val="5950"/>
                        </w:trPr>
                        <w:tc>
                          <w:tcPr>
                            <w:tcW w:w="5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55D918" w14:textId="360D1479" w:rsidR="005C0111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2587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Planning is proportionate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and manageable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clearly identifies what is to be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learned and assessed in all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areas of the curriculum. Learners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are involved in the planning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process.</w:t>
                            </w:r>
                          </w:p>
                          <w:p w14:paraId="11AE913B" w14:textId="046E2FA3" w:rsidR="005C0111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1311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Effective tracking and monitoring of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attainment across all areas of the curriculum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provides reliable, accurate and up to date data regarding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 progress of all learners.</w:t>
                            </w:r>
                          </w:p>
                          <w:p w14:paraId="4298A663" w14:textId="2794A02E" w:rsidR="00DD70E7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Analysis of such data leads to appropriate interventions to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address gaps in attainment and achievement.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Interventions are regularly reviewed for impact.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E1925" w14:textId="206D3759" w:rsidR="005C0111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Tracking and monitoring processes include analysis of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data linked to any barriers to learning. This may include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SIMD profiles or any identified additional support need. As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 result, pupils’ needs are well identified across the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school.</w:t>
                            </w:r>
                          </w:p>
                          <w:p w14:paraId="5FC5F0EE" w14:textId="32E246AA" w:rsidR="005C0111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Analysis of data including comparator data informs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improvement priorities, planning and practice.</w:t>
                            </w:r>
                          </w:p>
                          <w:p w14:paraId="12BA407B" w14:textId="2C4BF2E4" w:rsidR="00DD70E7" w:rsidRPr="005C0111" w:rsidRDefault="005C0111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Identified areas for improvement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are monitored and measured for impact.</w:t>
                            </w:r>
                          </w:p>
                        </w:tc>
                      </w:tr>
                    </w:tbl>
                    <w:p w14:paraId="08A2DF50" w14:textId="77777777" w:rsidR="00DD70E7" w:rsidRPr="005C684D" w:rsidRDefault="00DD70E7" w:rsidP="002C546A">
                      <w:pPr>
                        <w:tabs>
                          <w:tab w:val="left" w:pos="567"/>
                        </w:tabs>
                        <w:spacing w:beforeLines="40" w:before="96"/>
                        <w:ind w:left="284"/>
                      </w:pPr>
                    </w:p>
                    <w:p w14:paraId="0EF1818E" w14:textId="77777777" w:rsidR="00521A35" w:rsidRPr="005C684D" w:rsidRDefault="00521A35" w:rsidP="002C546A">
                      <w:pPr>
                        <w:spacing w:beforeLines="40" w:before="9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D45">
        <w:rPr>
          <w:noProof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7E162B50" wp14:editId="2A52CEFA">
                <wp:simplePos x="0" y="0"/>
                <wp:positionH relativeFrom="page">
                  <wp:posOffset>7849235</wp:posOffset>
                </wp:positionH>
                <wp:positionV relativeFrom="page">
                  <wp:posOffset>7200900</wp:posOffset>
                </wp:positionV>
                <wp:extent cx="6768000" cy="36000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60000"/>
                        </a:xfrm>
                        <a:prstGeom prst="rect">
                          <a:avLst/>
                        </a:prstGeom>
                        <a:solidFill>
                          <a:srgbClr val="00B3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643DD" w14:textId="1EEC14AE" w:rsidR="00857D45" w:rsidRPr="005C684D" w:rsidRDefault="000655B0" w:rsidP="000655B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PLANNING, TRACKING AND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2B50" id="Text Box 17" o:spid="_x0000_s1030" type="#_x0000_t202" style="position:absolute;margin-left:618.05pt;margin-top:567pt;width:532.9pt;height:28.35pt;z-index:4875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" fillcolor="#00b3e3" stroked="f" strokeweight=".5pt">
                <v:textbox>
                  <w:txbxContent>
                    <w:p w14:paraId="376643DD" w14:textId="1EEC14AE" w:rsidR="00857D45" w:rsidRPr="005C684D" w:rsidRDefault="000655B0" w:rsidP="000655B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PLANNING, TRACKING AND MONITORING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7D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27A114" wp14:editId="171C0E07">
                <wp:simplePos x="0" y="0"/>
                <wp:positionH relativeFrom="page">
                  <wp:posOffset>540385</wp:posOffset>
                </wp:positionH>
                <wp:positionV relativeFrom="page">
                  <wp:posOffset>7559675</wp:posOffset>
                </wp:positionV>
                <wp:extent cx="6768000" cy="24120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2412000"/>
                        </a:xfrm>
                        <a:prstGeom prst="rect">
                          <a:avLst/>
                        </a:prstGeom>
                        <a:solidFill>
                          <a:srgbClr val="0082CA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5183"/>
                            </w:tblGrid>
                            <w:tr w:rsidR="005C0111" w14:paraId="456AFE8C" w14:textId="77777777" w:rsidTr="00834F7A">
                              <w:trPr>
                                <w:trHeight w:val="5950"/>
                              </w:trPr>
                              <w:tc>
                                <w:tcPr>
                                  <w:tcW w:w="5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5A589" w14:textId="1DBF2117" w:rsidR="005C0111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Learning, </w:t>
                                  </w:r>
                                  <w:proofErr w:type="gramStart"/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teaching</w:t>
                                  </w:r>
                                  <w:proofErr w:type="gramEnd"/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 assessment are planned in an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integrated manner identifying what is to be learned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assessed at the planning stage.</w:t>
                                  </w:r>
                                </w:p>
                                <w:p w14:paraId="16F280DD" w14:textId="75DB334B" w:rsidR="005C0111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Assessment approaches are matched to the needs of the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individual learners to allow them to demonstrate their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knowledge, understanding, skills, </w:t>
                                  </w:r>
                                  <w:proofErr w:type="gramStart"/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attributes</w:t>
                                  </w:r>
                                  <w:proofErr w:type="gramEnd"/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capabilities.</w:t>
                                  </w:r>
                                </w:p>
                                <w:p w14:paraId="39182795" w14:textId="5922B437" w:rsidR="005C0111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There is effective use of a wide range of assessment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information, including formative (ongoing), summative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standardised (periodic), to inform teacher/practitioner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judgements.</w:t>
                                  </w:r>
                                </w:p>
                                <w:p w14:paraId="135DFFF1" w14:textId="7BF286FB" w:rsidR="00DD70E7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National benchmarks are used to improve the validity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reliability of professional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BE1E1B" w14:textId="23B0336D" w:rsidR="005C0111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 quality body of evidence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is used to support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judgements/decisions about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progress and next steps.</w:t>
                                  </w:r>
                                </w:p>
                                <w:p w14:paraId="061F35FA" w14:textId="5DB1D222" w:rsidR="005C0111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Outcomes from assessment are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shared with learners to engage them in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reflection and identification of strengths and</w:t>
                                  </w:r>
                                  <w:r w:rsidR="002C546A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areas for development.</w:t>
                                  </w:r>
                                </w:p>
                                <w:p w14:paraId="7A7714EF" w14:textId="344EBA30" w:rsidR="00DD70E7" w:rsidRPr="005C0111" w:rsidRDefault="005C0111" w:rsidP="005C011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Lines="40" w:before="96"/>
                                    <w:ind w:left="319" w:hanging="284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Moderation processes and approaches are applied to all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aspects of learning, teaching and assessment to improve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 validity and reliability of judgements of progress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attainment within and beyond the school</w:t>
                                  </w:r>
                                  <w:r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0E7" w:rsidRPr="005C0111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terms of future learning and career pathways.</w:t>
                                  </w:r>
                                </w:p>
                              </w:tc>
                            </w:tr>
                          </w:tbl>
                          <w:p w14:paraId="34B42617" w14:textId="77777777" w:rsidR="00DD70E7" w:rsidRPr="005C684D" w:rsidRDefault="00DD70E7" w:rsidP="005C0111">
                            <w:pPr>
                              <w:tabs>
                                <w:tab w:val="left" w:pos="567"/>
                              </w:tabs>
                              <w:spacing w:beforeLines="40" w:before="96"/>
                              <w:ind w:left="284"/>
                            </w:pPr>
                          </w:p>
                          <w:p w14:paraId="6B412B15" w14:textId="77777777" w:rsidR="00DA37DA" w:rsidRPr="005C684D" w:rsidRDefault="00DA37DA" w:rsidP="005C0111">
                            <w:pPr>
                              <w:spacing w:beforeLines="40" w:before="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A114" id="Text Box 11" o:spid="_x0000_s1031" type="#_x0000_t202" style="position:absolute;margin-left:42.55pt;margin-top:595.25pt;width:532.9pt;height:189.9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" fillcolor="#0082ca" stroked="f" strokeweight=".5pt">
                <v:fill opacity="13107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5183"/>
                      </w:tblGrid>
                      <w:tr w:rsidR="005C0111" w14:paraId="456AFE8C" w14:textId="77777777" w:rsidTr="00834F7A">
                        <w:trPr>
                          <w:trHeight w:val="5950"/>
                        </w:trPr>
                        <w:tc>
                          <w:tcPr>
                            <w:tcW w:w="5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35A589" w14:textId="1DBF2117" w:rsidR="005C0111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Learning, </w:t>
                            </w:r>
                            <w:proofErr w:type="gramStart"/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teaching</w:t>
                            </w:r>
                            <w:proofErr w:type="gramEnd"/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 assessment are planned in an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integrated manner identifying what is to be learned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assessed at the planning stage.</w:t>
                            </w:r>
                          </w:p>
                          <w:p w14:paraId="16F280DD" w14:textId="75DB334B" w:rsidR="005C0111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Assessment approaches are matched to the needs of the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individual learners to allow them to demonstrate their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knowledge, understanding, skills, </w:t>
                            </w:r>
                            <w:proofErr w:type="gramStart"/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attributes</w:t>
                            </w:r>
                            <w:proofErr w:type="gramEnd"/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capabilities.</w:t>
                            </w:r>
                          </w:p>
                          <w:p w14:paraId="39182795" w14:textId="5922B437" w:rsidR="005C0111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There is effective use of a wide range of assessment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information, including formative (ongoing), summative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standardised (periodic), to inform teacher/practitioner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judgements.</w:t>
                            </w:r>
                          </w:p>
                          <w:p w14:paraId="135DFFF1" w14:textId="7BF286FB" w:rsidR="00DD70E7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National benchmarks are used to improve the validity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reliability of professional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BE1E1B" w14:textId="23B0336D" w:rsidR="005C0111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 quality body of evidence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is used to support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assessment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judgements/decisions about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progress and next steps.</w:t>
                            </w:r>
                          </w:p>
                          <w:p w14:paraId="061F35FA" w14:textId="5DB1D222" w:rsidR="005C0111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Outcomes from assessment are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shared with learners to engage them in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reflection and identification of strengths and</w:t>
                            </w:r>
                            <w:r w:rsidR="002C546A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br/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areas for development.</w:t>
                            </w:r>
                          </w:p>
                          <w:p w14:paraId="7A7714EF" w14:textId="344EBA30" w:rsidR="00DD70E7" w:rsidRPr="005C0111" w:rsidRDefault="005C0111" w:rsidP="005C011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Lines="40" w:before="96"/>
                              <w:ind w:left="319" w:hanging="284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Moderation processes and approaches are applied to all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aspects of learning, teaching and assessment to improve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 validity and reliability of judgements of progress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attainment within and beyond the school</w:t>
                            </w:r>
                            <w:r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E7" w:rsidRPr="005C0111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terms of future learning and career pathways.</w:t>
                            </w:r>
                          </w:p>
                        </w:tc>
                      </w:tr>
                    </w:tbl>
                    <w:p w14:paraId="34B42617" w14:textId="77777777" w:rsidR="00DD70E7" w:rsidRPr="005C684D" w:rsidRDefault="00DD70E7" w:rsidP="005C0111">
                      <w:pPr>
                        <w:tabs>
                          <w:tab w:val="left" w:pos="567"/>
                        </w:tabs>
                        <w:spacing w:beforeLines="40" w:before="96"/>
                        <w:ind w:left="284"/>
                      </w:pPr>
                    </w:p>
                    <w:p w14:paraId="6B412B15" w14:textId="77777777" w:rsidR="00DA37DA" w:rsidRPr="005C684D" w:rsidRDefault="00DA37DA" w:rsidP="005C0111">
                      <w:pPr>
                        <w:spacing w:beforeLines="40" w:before="9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7D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04335C" wp14:editId="672E2FCC">
                <wp:simplePos x="0" y="0"/>
                <wp:positionH relativeFrom="page">
                  <wp:posOffset>540385</wp:posOffset>
                </wp:positionH>
                <wp:positionV relativeFrom="page">
                  <wp:posOffset>7200900</wp:posOffset>
                </wp:positionV>
                <wp:extent cx="6768000" cy="36000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60000"/>
                        </a:xfrm>
                        <a:prstGeom prst="rect">
                          <a:avLst/>
                        </a:prstGeom>
                        <a:solidFill>
                          <a:srgbClr val="0082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F26F4" w14:textId="2BDF46ED" w:rsidR="00DA37DA" w:rsidRPr="000655B0" w:rsidRDefault="000655B0" w:rsidP="00DA37D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EFFECTIVE USE OF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335C" id="Text Box 9" o:spid="_x0000_s1032" type="#_x0000_t202" style="position:absolute;margin-left:42.55pt;margin-top:567pt;width:532.9pt;height:28.3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1dMQIAAFw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" fillcolor="#0082ca" stroked="f" strokeweight=".5pt">
                <v:textbox>
                  <w:txbxContent>
                    <w:p w14:paraId="259F26F4" w14:textId="2BDF46ED" w:rsidR="00DA37DA" w:rsidRPr="000655B0" w:rsidRDefault="000655B0" w:rsidP="00DA37DA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EFFECTIVE USE OF 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7D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F0AF47" wp14:editId="56082B24">
                <wp:simplePos x="0" y="0"/>
                <wp:positionH relativeFrom="page">
                  <wp:posOffset>7848600</wp:posOffset>
                </wp:positionH>
                <wp:positionV relativeFrom="page">
                  <wp:posOffset>2917190</wp:posOffset>
                </wp:positionV>
                <wp:extent cx="6768000" cy="39600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960000"/>
                        </a:xfrm>
                        <a:prstGeom prst="rect">
                          <a:avLst/>
                        </a:prstGeom>
                        <a:solidFill>
                          <a:srgbClr val="0082CA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5183"/>
                            </w:tblGrid>
                            <w:tr w:rsidR="00DD70E7" w14:paraId="6D4734D5" w14:textId="77777777" w:rsidTr="00834F7A">
                              <w:trPr>
                                <w:trHeight w:val="5950"/>
                              </w:trPr>
                              <w:tc>
                                <w:tcPr>
                                  <w:tcW w:w="5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F5AB5" w14:textId="3B1486A8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treat pupils with respect and develop positive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relationships, thus creating an ethos which is conducive to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and teaching.</w:t>
                                  </w:r>
                                </w:p>
                                <w:p w14:paraId="4C1B75F6" w14:textId="27A75E54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Our teaching is underpinned by school vision, </w:t>
                                  </w:r>
                                  <w:proofErr w:type="gramStart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values</w:t>
                                  </w:r>
                                  <w:proofErr w:type="gramEnd"/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aims which reflect UNCRC. These are evident in our daily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practice.</w:t>
                                  </w:r>
                                </w:p>
                                <w:p w14:paraId="5393142F" w14:textId="7CDC52AC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know learners well. They make very good use of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profiles and data to support the learning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wellbeing of all children and young people.</w:t>
                                  </w:r>
                                </w:p>
                                <w:p w14:paraId="4C7A29F6" w14:textId="2DCC4E17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1027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have high expectations of all learners.</w:t>
                                  </w:r>
                                </w:p>
                                <w:p w14:paraId="1591A2E8" w14:textId="40D12C25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1736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give clear explanations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instructions to learners, building on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prior knowledge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understanding.</w:t>
                                  </w:r>
                                </w:p>
                                <w:p w14:paraId="5D631EEB" w14:textId="29E06EDC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587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plan and differentiate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effectively to meet the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needs of all learners,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making use of all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resources (including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staff) ensuring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appropriate support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and challenge.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00CF0C" w14:textId="4A083A59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make use of different learning environments and a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wide range of innovative, creative teaching approaches, to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meet the needs and interests of their learners.</w:t>
                                  </w:r>
                                </w:p>
                                <w:p w14:paraId="13A72A60" w14:textId="3753DFEA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integrate technology into the delivery of learning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teaching experiences and provide ongoing opportunities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for learners to develop and enhance their digital skills.</w:t>
                                  </w:r>
                                </w:p>
                                <w:p w14:paraId="2B8AB76C" w14:textId="76B413FF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develop links between ongoing learning, skills,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their relevance to learners’ economic futures</w:t>
                                  </w:r>
                                </w:p>
                                <w:p w14:paraId="765B091E" w14:textId="2B543973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provide effectively organised and well managed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experiences, clearly identifying the purpose of the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learning and what learners need to do to be successful.</w:t>
                                  </w:r>
                                </w:p>
                                <w:p w14:paraId="76DD45BE" w14:textId="42353AD5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ensure that their learners understand the purpose of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their learning and are provided with ongoing opportunities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to plan and lead.</w:t>
                                  </w:r>
                                </w:p>
                                <w:p w14:paraId="4B612979" w14:textId="3B842712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Skilled questioning is used by staff to challenge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extend higher order thinking skills</w:t>
                                  </w:r>
                                </w:p>
                                <w:p w14:paraId="10736154" w14:textId="138D2F31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Staff provide quality feedback that helps learners be clear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about strengths and next steps in learning.</w:t>
                                  </w:r>
                                </w:p>
                                <w:p w14:paraId="2C1EF370" w14:textId="5F837C83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All staff use assessment data effectively to plan and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secure improved outcomes for each of their learners</w:t>
                                  </w:r>
                                </w:p>
                                <w:p w14:paraId="6575A4FC" w14:textId="45217C31" w:rsidR="00DD70E7" w:rsidRPr="00DD70E7" w:rsidRDefault="00DD70E7" w:rsidP="002C546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Lines="40" w:before="96"/>
                                    <w:ind w:left="283" w:hanging="215"/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</w:pP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Through their ongoing commitment to </w:t>
                                  </w:r>
                                  <w:r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 xml:space="preserve">professional </w:t>
                                  </w:r>
                                  <w:r w:rsidRPr="00DD70E7">
                                    <w:rPr>
                                      <w:rFonts w:ascii="ArialMT" w:eastAsiaTheme="minorHAnsi" w:hAnsi="ArialMT" w:cs="ArialMT"/>
                                      <w:color w:val="1A1A1A"/>
                                      <w:sz w:val="18"/>
                                      <w:szCs w:val="18"/>
                                    </w:rPr>
                                    <w:t>enquiry, staff are accessing and</w:t>
                                  </w:r>
                                </w:p>
                              </w:tc>
                            </w:tr>
                          </w:tbl>
                          <w:p w14:paraId="5FC2AEB0" w14:textId="77777777" w:rsidR="00DD70E7" w:rsidRPr="005C684D" w:rsidRDefault="00DD70E7" w:rsidP="002C546A">
                            <w:pPr>
                              <w:tabs>
                                <w:tab w:val="left" w:pos="567"/>
                              </w:tabs>
                              <w:spacing w:beforeLines="40" w:before="96"/>
                              <w:ind w:left="283" w:hanging="215"/>
                            </w:pPr>
                          </w:p>
                          <w:p w14:paraId="636777CA" w14:textId="77777777" w:rsidR="00DA37DA" w:rsidRPr="005C684D" w:rsidRDefault="00DA37DA" w:rsidP="002C546A">
                            <w:pPr>
                              <w:spacing w:beforeLines="40" w:before="96"/>
                              <w:ind w:left="283" w:hanging="2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AF47" id="Text Box 8" o:spid="_x0000_s1033" type="#_x0000_t202" style="position:absolute;margin-left:618pt;margin-top:229.7pt;width:532.9pt;height:311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" fillcolor="#0082ca" stroked="f" strokeweight=".5pt">
                <v:fill opacity="13107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5183"/>
                      </w:tblGrid>
                      <w:tr w:rsidR="00DD70E7" w14:paraId="6D4734D5" w14:textId="77777777" w:rsidTr="00834F7A">
                        <w:trPr>
                          <w:trHeight w:val="5950"/>
                        </w:trPr>
                        <w:tc>
                          <w:tcPr>
                            <w:tcW w:w="5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F5AB5" w14:textId="3B1486A8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treat pupils with respect and develop positive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relationships, thus creating an ethos which is conducive to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and teaching.</w:t>
                            </w:r>
                          </w:p>
                          <w:p w14:paraId="4C1B75F6" w14:textId="27A75E54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Our teaching is underpinned by school vision, </w:t>
                            </w:r>
                            <w:proofErr w:type="gramStart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values</w:t>
                            </w:r>
                            <w:proofErr w:type="gramEnd"/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aims which reflect UNCRC. These are evident in our daily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practice.</w:t>
                            </w:r>
                          </w:p>
                          <w:p w14:paraId="5393142F" w14:textId="7CDC52AC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know learners well. They make very good use of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profiles and data to support the learning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wellbeing of all children and young people.</w:t>
                            </w:r>
                          </w:p>
                          <w:p w14:paraId="4C7A29F6" w14:textId="2DCC4E17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1027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have high expectations of all learners.</w:t>
                            </w:r>
                          </w:p>
                          <w:p w14:paraId="1591A2E8" w14:textId="40D12C25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1736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give clear explanations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instructions to learners, building on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prior knowledge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understanding.</w:t>
                            </w:r>
                          </w:p>
                          <w:p w14:paraId="5D631EEB" w14:textId="29E06EDC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587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plan and differentiate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effectively to meet the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needs of all learners,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making use of all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resources (including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staff) ensuring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appropriate support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and challenge.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00CF0C" w14:textId="4A083A59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make use of different learning environments and a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wide range of innovative, creative teaching approaches, to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meet the needs and interests of their learners.</w:t>
                            </w:r>
                          </w:p>
                          <w:p w14:paraId="13A72A60" w14:textId="3753DFEA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integrate technology into the delivery of learning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teaching experiences and provide ongoing opportunities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for learners to develop and enhance their digital skills.</w:t>
                            </w:r>
                          </w:p>
                          <w:p w14:paraId="2B8AB76C" w14:textId="76B413FF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develop links between ongoing learning, skills,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their relevance to learners’ economic futures</w:t>
                            </w:r>
                          </w:p>
                          <w:p w14:paraId="765B091E" w14:textId="2B543973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provide effectively organised and well managed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experiences, clearly identifying the purpose of the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learning and what learners need to do to be successful.</w:t>
                            </w:r>
                          </w:p>
                          <w:p w14:paraId="76DD45BE" w14:textId="42353AD5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ensure that their learners understand the purpose of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their learning and are provided with ongoing opportunities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to plan and lead.</w:t>
                            </w:r>
                          </w:p>
                          <w:p w14:paraId="4B612979" w14:textId="3B842712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Skilled questioning is used by staff to challenge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extend higher order thinking skills</w:t>
                            </w:r>
                          </w:p>
                          <w:p w14:paraId="10736154" w14:textId="138D2F31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Staff provide quality feedback that helps learners be clear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about strengths and next steps in learning.</w:t>
                            </w:r>
                          </w:p>
                          <w:p w14:paraId="2C1EF370" w14:textId="5F837C83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All staff use assessment data effectively to plan and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secure improved outcomes for each of their learners</w:t>
                            </w:r>
                          </w:p>
                          <w:p w14:paraId="6575A4FC" w14:textId="45217C31" w:rsidR="00DD70E7" w:rsidRPr="00DD70E7" w:rsidRDefault="00DD70E7" w:rsidP="002C54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Lines="40" w:before="96"/>
                              <w:ind w:left="283" w:hanging="215"/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Through their ongoing commitment to 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 xml:space="preserve">professional </w:t>
                            </w:r>
                            <w:r w:rsidRPr="00DD70E7">
                              <w:rPr>
                                <w:rFonts w:ascii="ArialMT" w:eastAsiaTheme="minorHAnsi" w:hAnsi="ArialMT" w:cs="ArialMT"/>
                                <w:color w:val="1A1A1A"/>
                                <w:sz w:val="18"/>
                                <w:szCs w:val="18"/>
                              </w:rPr>
                              <w:t>enquiry, staff are accessing and</w:t>
                            </w:r>
                          </w:p>
                        </w:tc>
                      </w:tr>
                    </w:tbl>
                    <w:p w14:paraId="5FC2AEB0" w14:textId="77777777" w:rsidR="00DD70E7" w:rsidRPr="005C684D" w:rsidRDefault="00DD70E7" w:rsidP="002C546A">
                      <w:pPr>
                        <w:tabs>
                          <w:tab w:val="left" w:pos="567"/>
                        </w:tabs>
                        <w:spacing w:beforeLines="40" w:before="96"/>
                        <w:ind w:left="283" w:hanging="215"/>
                      </w:pPr>
                    </w:p>
                    <w:p w14:paraId="636777CA" w14:textId="77777777" w:rsidR="00DA37DA" w:rsidRPr="005C684D" w:rsidRDefault="00DA37DA" w:rsidP="002C546A">
                      <w:pPr>
                        <w:spacing w:beforeLines="40" w:before="96"/>
                        <w:ind w:left="283" w:hanging="21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3019" w:rsidRPr="000655B0" w:rsidSect="005C684D">
      <w:headerReference w:type="default" r:id="rId8"/>
      <w:footerReference w:type="default" r:id="rId9"/>
      <w:type w:val="continuous"/>
      <w:pgSz w:w="23820" w:h="16840" w:orient="landscape"/>
      <w:pgMar w:top="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45C9" w14:textId="77777777" w:rsidR="008714E1" w:rsidRDefault="008714E1" w:rsidP="000655B0">
      <w:r>
        <w:separator/>
      </w:r>
    </w:p>
  </w:endnote>
  <w:endnote w:type="continuationSeparator" w:id="0">
    <w:p w14:paraId="212D299C" w14:textId="77777777" w:rsidR="008714E1" w:rsidRDefault="008714E1" w:rsidP="000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F9CC" w14:textId="308B8027" w:rsidR="000655B0" w:rsidRDefault="000655B0">
    <w:pPr>
      <w:pStyle w:val="Footer"/>
    </w:pPr>
  </w:p>
  <w:p w14:paraId="4D85D10F" w14:textId="77777777" w:rsidR="000655B0" w:rsidRDefault="0006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CE66" w14:textId="77777777" w:rsidR="008714E1" w:rsidRDefault="008714E1" w:rsidP="000655B0">
      <w:r>
        <w:separator/>
      </w:r>
    </w:p>
  </w:footnote>
  <w:footnote w:type="continuationSeparator" w:id="0">
    <w:p w14:paraId="4C9FE2CF" w14:textId="77777777" w:rsidR="008714E1" w:rsidRDefault="008714E1" w:rsidP="000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A833" w14:textId="2CE4C5B3" w:rsidR="000655B0" w:rsidRDefault="000655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126B6" wp14:editId="7080F26E">
          <wp:simplePos x="0" y="0"/>
          <wp:positionH relativeFrom="page">
            <wp:align>left</wp:align>
          </wp:positionH>
          <wp:positionV relativeFrom="paragraph">
            <wp:posOffset>-457764</wp:posOffset>
          </wp:positionV>
          <wp:extent cx="15120000" cy="10689370"/>
          <wp:effectExtent l="0" t="0" r="5715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A3D"/>
    <w:multiLevelType w:val="hybridMultilevel"/>
    <w:tmpl w:val="E0885F18"/>
    <w:lvl w:ilvl="0" w:tplc="E238443A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499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938"/>
    <w:multiLevelType w:val="hybridMultilevel"/>
    <w:tmpl w:val="009E264C"/>
    <w:lvl w:ilvl="0" w:tplc="AFF6094E">
      <w:numFmt w:val="bullet"/>
      <w:lvlText w:val="•"/>
      <w:lvlJc w:val="left"/>
      <w:pPr>
        <w:ind w:left="720" w:hanging="360"/>
      </w:pPr>
      <w:rPr>
        <w:rFonts w:ascii="Arial-Black" w:eastAsiaTheme="minorHAnsi" w:hAnsi="Arial-Black" w:cs="Arial-Black" w:hint="default"/>
        <w:color w:val="001A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C68"/>
    <w:multiLevelType w:val="hybridMultilevel"/>
    <w:tmpl w:val="D2767932"/>
    <w:lvl w:ilvl="0" w:tplc="E238443A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4990"/>
        <w:w w:val="1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AB7"/>
    <w:multiLevelType w:val="hybridMultilevel"/>
    <w:tmpl w:val="03D0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05D"/>
    <w:multiLevelType w:val="hybridMultilevel"/>
    <w:tmpl w:val="49B4F216"/>
    <w:lvl w:ilvl="0" w:tplc="E238443A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499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2746"/>
    <w:multiLevelType w:val="hybridMultilevel"/>
    <w:tmpl w:val="6F22D32E"/>
    <w:lvl w:ilvl="0" w:tplc="AFF6094E">
      <w:numFmt w:val="bullet"/>
      <w:lvlText w:val="•"/>
      <w:lvlJc w:val="left"/>
      <w:pPr>
        <w:ind w:left="720" w:hanging="360"/>
      </w:pPr>
      <w:rPr>
        <w:rFonts w:ascii="Arial-Black" w:eastAsiaTheme="minorHAnsi" w:hAnsi="Arial-Black" w:cs="Arial-Black" w:hint="default"/>
        <w:color w:val="001A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3E5"/>
    <w:multiLevelType w:val="hybridMultilevel"/>
    <w:tmpl w:val="40D8F326"/>
    <w:lvl w:ilvl="0" w:tplc="E238443A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499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9"/>
    <w:rsid w:val="000655B0"/>
    <w:rsid w:val="00096541"/>
    <w:rsid w:val="000D6AE9"/>
    <w:rsid w:val="002C546A"/>
    <w:rsid w:val="00521A35"/>
    <w:rsid w:val="00533019"/>
    <w:rsid w:val="005C0111"/>
    <w:rsid w:val="005C684D"/>
    <w:rsid w:val="00756237"/>
    <w:rsid w:val="00857D45"/>
    <w:rsid w:val="008714E1"/>
    <w:rsid w:val="00C76D82"/>
    <w:rsid w:val="00DA37DA"/>
    <w:rsid w:val="00D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DA85"/>
  <w15:docId w15:val="{0E6B4BB5-8EDD-4BB1-905E-609C3CB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84"/>
      <w:ind w:right="1705"/>
      <w:jc w:val="right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B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5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B0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06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Nicholas Clelland</dc:creator>
  <cp:lastModifiedBy>Nicholas Clelland</cp:lastModifiedBy>
  <cp:revision>4</cp:revision>
  <dcterms:created xsi:type="dcterms:W3CDTF">2022-02-23T10:32:00Z</dcterms:created>
  <dcterms:modified xsi:type="dcterms:W3CDTF">2022-02-23T12:47:00Z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2022-02-22T00:00:00Z</vt:filetime>
  </property>
</Properties>
</file>