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0B" w:rsidRPr="007B190B" w:rsidRDefault="007B190B" w:rsidP="007B190B">
      <w:pPr>
        <w:jc w:val="center"/>
        <w:rPr>
          <w:rFonts w:ascii="Arial" w:hAnsi="Arial" w:cs="Arial"/>
          <w:b/>
        </w:rPr>
      </w:pPr>
      <w:r w:rsidRPr="007B190B">
        <w:rPr>
          <w:rFonts w:ascii="Arial" w:hAnsi="Arial" w:cs="Arial"/>
          <w:b/>
        </w:rPr>
        <w:t>5.1</w:t>
      </w:r>
      <w:r w:rsidRPr="007B190B">
        <w:rPr>
          <w:rFonts w:ascii="Arial" w:hAnsi="Arial" w:cs="Arial"/>
          <w:b/>
        </w:rPr>
        <w:t xml:space="preserve"> </w:t>
      </w:r>
      <w:r w:rsidRPr="007B190B">
        <w:rPr>
          <w:rFonts w:ascii="Arial" w:hAnsi="Arial" w:cs="Arial"/>
          <w:b/>
        </w:rPr>
        <w:t>The Curriculum</w:t>
      </w:r>
      <w:r w:rsidRPr="007B190B">
        <w:rPr>
          <w:rFonts w:ascii="Arial" w:hAnsi="Arial" w:cs="Arial"/>
          <w:b/>
        </w:rPr>
        <w:t xml:space="preserve">- </w:t>
      </w:r>
      <w:hyperlink r:id="rId8" w:history="1">
        <w:r w:rsidRPr="007B190B">
          <w:rPr>
            <w:rStyle w:val="Hyperlink"/>
            <w:rFonts w:ascii="Arial" w:hAnsi="Arial" w:cs="Arial"/>
            <w:b/>
          </w:rPr>
          <w:t>Inspection Advice Notes</w:t>
        </w:r>
      </w:hyperlink>
      <w:r w:rsidRPr="007B190B">
        <w:rPr>
          <w:rFonts w:ascii="Arial" w:hAnsi="Arial" w:cs="Arial"/>
          <w:b/>
        </w:rPr>
        <w:t xml:space="preserve"> 2011-15, primary and early years card sort activity</w:t>
      </w:r>
    </w:p>
    <w:p w:rsidR="007B190B" w:rsidRPr="007B190B" w:rsidRDefault="007B190B" w:rsidP="007B190B">
      <w:pPr>
        <w:rPr>
          <w:rFonts w:ascii="Arial" w:hAnsi="Arial" w:cs="Arial"/>
          <w:b/>
        </w:rPr>
      </w:pPr>
      <w:proofErr w:type="spellStart"/>
      <w:r w:rsidRPr="007B190B">
        <w:rPr>
          <w:rFonts w:ascii="Arial" w:hAnsi="Arial" w:cs="Arial"/>
          <w:b/>
        </w:rPr>
        <w:t>Theme1</w:t>
      </w:r>
      <w:proofErr w:type="spellEnd"/>
      <w:r w:rsidRPr="007B190B">
        <w:rPr>
          <w:rFonts w:ascii="Arial" w:hAnsi="Arial" w:cs="Arial"/>
          <w:b/>
        </w:rPr>
        <w:t>: Rationale and design of the curriculum</w:t>
      </w:r>
    </w:p>
    <w:tbl>
      <w:tblPr>
        <w:tblStyle w:val="TableGrid"/>
        <w:tblW w:w="15431" w:type="dxa"/>
        <w:tblLook w:val="04A0" w:firstRow="1" w:lastRow="0" w:firstColumn="1" w:lastColumn="0" w:noHBand="0" w:noVBand="1"/>
      </w:tblPr>
      <w:tblGrid>
        <w:gridCol w:w="1650"/>
        <w:gridCol w:w="4270"/>
        <w:gridCol w:w="4678"/>
        <w:gridCol w:w="4833"/>
      </w:tblGrid>
      <w:tr w:rsidR="008A2DFD" w:rsidRPr="007B190B" w:rsidTr="007B190B">
        <w:trPr>
          <w:trHeight w:val="492"/>
        </w:trPr>
        <w:tc>
          <w:tcPr>
            <w:tcW w:w="1650" w:type="dxa"/>
          </w:tcPr>
          <w:p w:rsidR="008A2DFD" w:rsidRPr="007B190B" w:rsidRDefault="00A21FCD" w:rsidP="008A2DFD">
            <w:pPr>
              <w:jc w:val="center"/>
              <w:rPr>
                <w:rFonts w:ascii="Arial" w:hAnsi="Arial" w:cs="Arial"/>
                <w:b/>
              </w:rPr>
            </w:pPr>
            <w:bookmarkStart w:id="0" w:name="_GoBack" w:colFirst="0" w:colLast="0"/>
            <w:r w:rsidRPr="007B190B">
              <w:rPr>
                <w:rFonts w:ascii="Arial" w:hAnsi="Arial" w:cs="Arial"/>
                <w:b/>
              </w:rPr>
              <w:t>5.1</w:t>
            </w:r>
          </w:p>
        </w:tc>
        <w:tc>
          <w:tcPr>
            <w:tcW w:w="4270" w:type="dxa"/>
          </w:tcPr>
          <w:p w:rsidR="008A2DFD" w:rsidRPr="007B190B" w:rsidRDefault="008A2DFD" w:rsidP="008A2DFD">
            <w:pPr>
              <w:jc w:val="center"/>
              <w:rPr>
                <w:rFonts w:ascii="Arial" w:hAnsi="Arial" w:cs="Arial"/>
                <w:b/>
              </w:rPr>
            </w:pPr>
            <w:r w:rsidRPr="007B190B">
              <w:rPr>
                <w:rFonts w:ascii="Arial" w:hAnsi="Arial" w:cs="Arial"/>
                <w:b/>
              </w:rPr>
              <w:t>2011</w:t>
            </w:r>
          </w:p>
        </w:tc>
        <w:tc>
          <w:tcPr>
            <w:tcW w:w="4678" w:type="dxa"/>
          </w:tcPr>
          <w:p w:rsidR="008A2DFD" w:rsidRPr="007B190B" w:rsidRDefault="008A2DFD" w:rsidP="008A2DFD">
            <w:pPr>
              <w:jc w:val="center"/>
              <w:rPr>
                <w:rFonts w:ascii="Arial" w:hAnsi="Arial" w:cs="Arial"/>
                <w:b/>
              </w:rPr>
            </w:pPr>
            <w:r w:rsidRPr="007B190B">
              <w:rPr>
                <w:rFonts w:ascii="Arial" w:hAnsi="Arial" w:cs="Arial"/>
                <w:b/>
              </w:rPr>
              <w:t>2012</w:t>
            </w:r>
          </w:p>
        </w:tc>
        <w:tc>
          <w:tcPr>
            <w:tcW w:w="4833" w:type="dxa"/>
          </w:tcPr>
          <w:p w:rsidR="008A2DFD" w:rsidRPr="007B190B" w:rsidRDefault="008A2DFD" w:rsidP="008A2DFD">
            <w:pPr>
              <w:jc w:val="center"/>
              <w:rPr>
                <w:rFonts w:ascii="Arial" w:hAnsi="Arial" w:cs="Arial"/>
                <w:b/>
              </w:rPr>
            </w:pPr>
            <w:r w:rsidRPr="007B190B">
              <w:rPr>
                <w:rFonts w:ascii="Arial" w:hAnsi="Arial" w:cs="Arial"/>
                <w:b/>
              </w:rPr>
              <w:t>2013</w:t>
            </w:r>
            <w:r w:rsidR="009B2853" w:rsidRPr="007B190B">
              <w:rPr>
                <w:rFonts w:ascii="Arial" w:hAnsi="Arial" w:cs="Arial"/>
                <w:b/>
              </w:rPr>
              <w:t>-2015</w:t>
            </w:r>
          </w:p>
        </w:tc>
      </w:tr>
      <w:tr w:rsidR="008A2DFD" w:rsidRPr="007B190B" w:rsidTr="007B190B">
        <w:trPr>
          <w:trHeight w:val="1953"/>
        </w:trPr>
        <w:tc>
          <w:tcPr>
            <w:tcW w:w="1650" w:type="dxa"/>
            <w:vAlign w:val="center"/>
          </w:tcPr>
          <w:p w:rsidR="008A2DFD" w:rsidRPr="007B190B" w:rsidRDefault="00A21FCD" w:rsidP="008C2EF1">
            <w:pPr>
              <w:jc w:val="center"/>
              <w:rPr>
                <w:rFonts w:ascii="Arial" w:hAnsi="Arial" w:cs="Arial"/>
                <w:b/>
              </w:rPr>
            </w:pPr>
            <w:r w:rsidRPr="007B190B">
              <w:rPr>
                <w:rFonts w:ascii="Arial" w:hAnsi="Arial" w:cs="Arial"/>
                <w:b/>
              </w:rPr>
              <w:t>Theme 1(1)</w:t>
            </w:r>
            <w:r w:rsidR="008C2EF1" w:rsidRPr="007B190B">
              <w:rPr>
                <w:rFonts w:ascii="Arial" w:hAnsi="Arial" w:cs="Arial"/>
                <w:b/>
              </w:rPr>
              <w:t xml:space="preserve"> Rationale and design</w:t>
            </w:r>
          </w:p>
        </w:tc>
        <w:tc>
          <w:tcPr>
            <w:tcW w:w="4270" w:type="dxa"/>
            <w:vAlign w:val="center"/>
          </w:tcPr>
          <w:p w:rsidR="008A2DFD" w:rsidRPr="007B190B" w:rsidRDefault="00A21FCD" w:rsidP="00876D63">
            <w:pPr>
              <w:rPr>
                <w:rFonts w:ascii="Arial" w:hAnsi="Arial" w:cs="Arial"/>
              </w:rPr>
            </w:pPr>
            <w:r w:rsidRPr="007B190B">
              <w:rPr>
                <w:rFonts w:ascii="Arial" w:hAnsi="Arial" w:cs="Arial"/>
              </w:rPr>
              <w:t>Theme 1</w:t>
            </w:r>
            <w:r w:rsidR="008C2EF1" w:rsidRPr="007B190B">
              <w:rPr>
                <w:rFonts w:ascii="Arial" w:hAnsi="Arial" w:cs="Arial"/>
              </w:rPr>
              <w:t xml:space="preserve">(1) Staff have developed a clear vision and rationale for the curriculum taking account of learners’ entitlements. </w:t>
            </w:r>
          </w:p>
        </w:tc>
        <w:tc>
          <w:tcPr>
            <w:tcW w:w="4678" w:type="dxa"/>
            <w:vAlign w:val="center"/>
          </w:tcPr>
          <w:p w:rsidR="008A2DFD" w:rsidRPr="007B190B" w:rsidRDefault="00A21FCD" w:rsidP="00876D63">
            <w:pPr>
              <w:rPr>
                <w:rFonts w:ascii="Arial" w:hAnsi="Arial" w:cs="Arial"/>
              </w:rPr>
            </w:pPr>
            <w:r w:rsidRPr="007B190B">
              <w:rPr>
                <w:rFonts w:ascii="Arial" w:hAnsi="Arial" w:cs="Arial"/>
              </w:rPr>
              <w:t xml:space="preserve">Theme 1(1) </w:t>
            </w:r>
            <w:r w:rsidR="008C2EF1" w:rsidRPr="007B190B">
              <w:rPr>
                <w:rFonts w:ascii="Arial" w:hAnsi="Arial" w:cs="Arial"/>
              </w:rPr>
              <w:t>The curriculum has a clear rationale based on shared values and learners’ entitlements and develops the four capacities.</w:t>
            </w:r>
          </w:p>
        </w:tc>
        <w:tc>
          <w:tcPr>
            <w:tcW w:w="4833" w:type="dxa"/>
            <w:vAlign w:val="center"/>
          </w:tcPr>
          <w:p w:rsidR="008A2DFD" w:rsidRPr="007B190B" w:rsidRDefault="00A21FCD" w:rsidP="00876D63">
            <w:pPr>
              <w:rPr>
                <w:rFonts w:ascii="Arial" w:hAnsi="Arial" w:cs="Arial"/>
              </w:rPr>
            </w:pPr>
            <w:r w:rsidRPr="007B190B">
              <w:rPr>
                <w:rFonts w:ascii="Arial" w:hAnsi="Arial" w:cs="Arial"/>
              </w:rPr>
              <w:t xml:space="preserve">Theme 1(1) </w:t>
            </w:r>
            <w:r w:rsidR="008C2EF1" w:rsidRPr="007B190B">
              <w:rPr>
                <w:rFonts w:ascii="Arial" w:hAnsi="Arial" w:cs="Arial"/>
              </w:rPr>
              <w:t xml:space="preserve">Staff continue to evaluate and further develop the </w:t>
            </w:r>
            <w:r w:rsidR="00336EEB" w:rsidRPr="007B190B">
              <w:rPr>
                <w:rFonts w:ascii="Arial" w:hAnsi="Arial" w:cs="Arial"/>
              </w:rPr>
              <w:t>broad general education (</w:t>
            </w:r>
            <w:r w:rsidR="008C2EF1" w:rsidRPr="007B190B">
              <w:rPr>
                <w:rFonts w:ascii="Arial" w:hAnsi="Arial" w:cs="Arial"/>
              </w:rPr>
              <w:t>BGE</w:t>
            </w:r>
            <w:r w:rsidR="00336EEB" w:rsidRPr="007B190B">
              <w:rPr>
                <w:rFonts w:ascii="Arial" w:hAnsi="Arial" w:cs="Arial"/>
              </w:rPr>
              <w:t>)</w:t>
            </w:r>
            <w:r w:rsidR="008C2EF1" w:rsidRPr="007B190B">
              <w:rPr>
                <w:rFonts w:ascii="Arial" w:hAnsi="Arial" w:cs="Arial"/>
              </w:rPr>
              <w:t xml:space="preserve"> to ensure all children and young people benefit from the entitlement to BGE.</w:t>
            </w:r>
          </w:p>
        </w:tc>
      </w:tr>
      <w:tr w:rsidR="008A2DFD" w:rsidRPr="007B190B" w:rsidTr="007B190B">
        <w:trPr>
          <w:trHeight w:val="2985"/>
        </w:trPr>
        <w:tc>
          <w:tcPr>
            <w:tcW w:w="1650" w:type="dxa"/>
            <w:vAlign w:val="center"/>
          </w:tcPr>
          <w:p w:rsidR="008A2DFD" w:rsidRPr="007B190B" w:rsidRDefault="00A21FCD" w:rsidP="008C2EF1">
            <w:pPr>
              <w:jc w:val="center"/>
              <w:rPr>
                <w:rFonts w:ascii="Arial" w:hAnsi="Arial" w:cs="Arial"/>
                <w:b/>
              </w:rPr>
            </w:pPr>
            <w:r w:rsidRPr="007B190B">
              <w:rPr>
                <w:rFonts w:ascii="Arial" w:hAnsi="Arial" w:cs="Arial"/>
                <w:b/>
              </w:rPr>
              <w:t xml:space="preserve">Theme 1(2) </w:t>
            </w:r>
            <w:r w:rsidR="008C2EF1" w:rsidRPr="007B190B">
              <w:rPr>
                <w:rFonts w:ascii="Arial" w:hAnsi="Arial" w:cs="Arial"/>
                <w:b/>
              </w:rPr>
              <w:t>Rationale and design</w:t>
            </w:r>
          </w:p>
        </w:tc>
        <w:tc>
          <w:tcPr>
            <w:tcW w:w="4270" w:type="dxa"/>
            <w:vAlign w:val="center"/>
          </w:tcPr>
          <w:p w:rsidR="008A2DFD" w:rsidRPr="007B190B" w:rsidRDefault="00A21FCD" w:rsidP="00876D63">
            <w:pPr>
              <w:rPr>
                <w:rFonts w:ascii="Arial" w:hAnsi="Arial" w:cs="Arial"/>
              </w:rPr>
            </w:pPr>
            <w:r w:rsidRPr="007B190B">
              <w:rPr>
                <w:rFonts w:ascii="Arial" w:hAnsi="Arial" w:cs="Arial"/>
              </w:rPr>
              <w:t>Theme 1</w:t>
            </w:r>
            <w:r w:rsidR="00336EEB" w:rsidRPr="007B190B">
              <w:rPr>
                <w:rFonts w:ascii="Arial" w:hAnsi="Arial" w:cs="Arial"/>
              </w:rPr>
              <w:t>(2) Staff have been supported by leaders to have developed and shared a strategy for ensuring that the development of literacy and numeracy is a corporate responsibility and have developed or are actively developing a holistic approach towards health and wellbeing through the culture of the organisation.</w:t>
            </w:r>
          </w:p>
        </w:tc>
        <w:tc>
          <w:tcPr>
            <w:tcW w:w="4678" w:type="dxa"/>
            <w:vAlign w:val="center"/>
          </w:tcPr>
          <w:p w:rsidR="008A2DFD" w:rsidRPr="007B190B" w:rsidRDefault="00A21FCD" w:rsidP="00876D63">
            <w:pPr>
              <w:rPr>
                <w:rFonts w:ascii="Arial" w:hAnsi="Arial" w:cs="Arial"/>
              </w:rPr>
            </w:pPr>
            <w:r w:rsidRPr="007B190B">
              <w:rPr>
                <w:rFonts w:ascii="Arial" w:hAnsi="Arial" w:cs="Arial"/>
              </w:rPr>
              <w:t xml:space="preserve">Theme 1(2) </w:t>
            </w:r>
            <w:r w:rsidR="00336EEB" w:rsidRPr="007B190B">
              <w:rPr>
                <w:rFonts w:ascii="Arial" w:hAnsi="Arial" w:cs="Arial"/>
              </w:rPr>
              <w:t>Staff have a clear and shared strategy for the development of literacy, numeracy and health and wellbeing across the curriculum. A high priority is given to the development of health and wellbeing across the four aspects of curriculum.</w:t>
            </w:r>
          </w:p>
        </w:tc>
        <w:tc>
          <w:tcPr>
            <w:tcW w:w="4833" w:type="dxa"/>
            <w:vAlign w:val="center"/>
          </w:tcPr>
          <w:p w:rsidR="00927E26" w:rsidRPr="007B190B" w:rsidRDefault="00927E26" w:rsidP="00876D63">
            <w:pPr>
              <w:rPr>
                <w:rFonts w:ascii="Arial" w:hAnsi="Arial" w:cs="Arial"/>
              </w:rPr>
            </w:pPr>
          </w:p>
          <w:p w:rsidR="008A2DFD" w:rsidRPr="007B190B" w:rsidRDefault="00A21FCD" w:rsidP="00876D63">
            <w:pPr>
              <w:rPr>
                <w:rFonts w:ascii="Arial" w:hAnsi="Arial" w:cs="Arial"/>
              </w:rPr>
            </w:pPr>
            <w:r w:rsidRPr="007B190B">
              <w:rPr>
                <w:rFonts w:ascii="Arial" w:hAnsi="Arial" w:cs="Arial"/>
              </w:rPr>
              <w:t>Theme 1(2</w:t>
            </w:r>
            <w:r w:rsidR="00336EEB" w:rsidRPr="007B190B">
              <w:rPr>
                <w:rFonts w:ascii="Arial" w:hAnsi="Arial" w:cs="Arial"/>
              </w:rPr>
              <w:t xml:space="preserve">) </w:t>
            </w:r>
            <w:r w:rsidR="009B2853" w:rsidRPr="007B190B">
              <w:rPr>
                <w:rFonts w:ascii="Arial" w:hAnsi="Arial" w:cs="Arial"/>
              </w:rPr>
              <w:t>Staff have a clear and shared strategy for the development and assessment of literacy and numeracy to ensure smooth progression and achievement across the curriculum. They should also be evaluating children’s and young people’s progress in health and wellbeing across the four aspects of the curriculum, including taking account of learners’ self-evaluation of their own progress in this area.</w:t>
            </w:r>
          </w:p>
        </w:tc>
      </w:tr>
      <w:tr w:rsidR="008A2DFD" w:rsidRPr="007B190B" w:rsidTr="007B190B">
        <w:trPr>
          <w:trHeight w:val="125"/>
        </w:trPr>
        <w:tc>
          <w:tcPr>
            <w:tcW w:w="1650" w:type="dxa"/>
            <w:vAlign w:val="center"/>
          </w:tcPr>
          <w:p w:rsidR="008A2DFD" w:rsidRPr="007B190B" w:rsidRDefault="00A21FCD" w:rsidP="008C2EF1">
            <w:pPr>
              <w:jc w:val="center"/>
              <w:rPr>
                <w:rFonts w:ascii="Arial" w:hAnsi="Arial" w:cs="Arial"/>
                <w:b/>
              </w:rPr>
            </w:pPr>
            <w:r w:rsidRPr="007B190B">
              <w:rPr>
                <w:rFonts w:ascii="Arial" w:hAnsi="Arial" w:cs="Arial"/>
                <w:b/>
              </w:rPr>
              <w:t>Theme 1</w:t>
            </w:r>
            <w:r w:rsidR="008C2EF1" w:rsidRPr="007B190B">
              <w:rPr>
                <w:rFonts w:ascii="Arial" w:hAnsi="Arial" w:cs="Arial"/>
                <w:b/>
              </w:rPr>
              <w:t>(3) Rationale and design</w:t>
            </w:r>
          </w:p>
        </w:tc>
        <w:tc>
          <w:tcPr>
            <w:tcW w:w="4270" w:type="dxa"/>
            <w:vAlign w:val="center"/>
          </w:tcPr>
          <w:p w:rsidR="008A2DFD" w:rsidRPr="007B190B" w:rsidRDefault="00A21FCD" w:rsidP="00876D63">
            <w:pPr>
              <w:rPr>
                <w:rFonts w:ascii="Arial" w:hAnsi="Arial" w:cs="Arial"/>
              </w:rPr>
            </w:pPr>
            <w:r w:rsidRPr="007B190B">
              <w:rPr>
                <w:rFonts w:ascii="Arial" w:hAnsi="Arial" w:cs="Arial"/>
              </w:rPr>
              <w:t>Theme 1</w:t>
            </w:r>
            <w:r w:rsidR="00336EEB" w:rsidRPr="007B190B">
              <w:rPr>
                <w:rFonts w:ascii="Arial" w:hAnsi="Arial" w:cs="Arial"/>
              </w:rPr>
              <w:t>(3) Staff should be familiar with the design principles and can talk about how their work contributes to the four contexts for learning and each young person’s broad BGE</w:t>
            </w:r>
          </w:p>
        </w:tc>
        <w:tc>
          <w:tcPr>
            <w:tcW w:w="4678" w:type="dxa"/>
            <w:vAlign w:val="center"/>
          </w:tcPr>
          <w:p w:rsidR="008A2DFD" w:rsidRPr="007B190B" w:rsidRDefault="00A21FCD" w:rsidP="00876D63">
            <w:pPr>
              <w:rPr>
                <w:rFonts w:ascii="Arial" w:hAnsi="Arial" w:cs="Arial"/>
              </w:rPr>
            </w:pPr>
            <w:r w:rsidRPr="007B190B">
              <w:rPr>
                <w:rFonts w:ascii="Arial" w:hAnsi="Arial" w:cs="Arial"/>
              </w:rPr>
              <w:t xml:space="preserve">Theme 1(3) </w:t>
            </w:r>
            <w:r w:rsidR="00336EEB" w:rsidRPr="007B190B">
              <w:rPr>
                <w:rFonts w:ascii="Arial" w:hAnsi="Arial" w:cs="Arial"/>
              </w:rPr>
              <w:t>The curriculum is based on the design principles of challenge and enjoyment, breadth, depth, progression, relevance, coherence and personalisation for all learners.</w:t>
            </w:r>
          </w:p>
        </w:tc>
        <w:tc>
          <w:tcPr>
            <w:tcW w:w="4833" w:type="dxa"/>
            <w:vAlign w:val="center"/>
          </w:tcPr>
          <w:p w:rsidR="00927E26" w:rsidRPr="007B190B" w:rsidRDefault="00927E26" w:rsidP="00876D63">
            <w:pPr>
              <w:rPr>
                <w:rFonts w:ascii="Arial" w:hAnsi="Arial" w:cs="Arial"/>
              </w:rPr>
            </w:pPr>
          </w:p>
          <w:p w:rsidR="00927E26" w:rsidRPr="007B190B" w:rsidRDefault="00927E26" w:rsidP="00876D63">
            <w:pPr>
              <w:rPr>
                <w:rFonts w:ascii="Arial" w:hAnsi="Arial" w:cs="Arial"/>
              </w:rPr>
            </w:pPr>
          </w:p>
          <w:p w:rsidR="008A2DFD" w:rsidRPr="007B190B" w:rsidRDefault="00A21FCD" w:rsidP="00876D63">
            <w:pPr>
              <w:rPr>
                <w:rFonts w:ascii="Arial" w:hAnsi="Arial" w:cs="Arial"/>
              </w:rPr>
            </w:pPr>
            <w:r w:rsidRPr="007B190B">
              <w:rPr>
                <w:rFonts w:ascii="Arial" w:hAnsi="Arial" w:cs="Arial"/>
              </w:rPr>
              <w:t xml:space="preserve">Theme 1(3) </w:t>
            </w:r>
            <w:r w:rsidR="00336EEB" w:rsidRPr="007B190B">
              <w:rPr>
                <w:rFonts w:ascii="Arial" w:hAnsi="Arial" w:cs="Arial"/>
              </w:rPr>
              <w:t>Staff and partners are further developing the curriculum to ensure coherence and progression in learning using the experiences and outcomes (Es and Os) to provide well-planned and joined up learning across curriculum areas and subjects, interdisciplinary learning, personal achievement and the life and ethos of the school.</w:t>
            </w:r>
          </w:p>
          <w:p w:rsidR="00E85153" w:rsidRPr="007B190B" w:rsidRDefault="00E85153" w:rsidP="00876D63">
            <w:pPr>
              <w:rPr>
                <w:rFonts w:ascii="Arial" w:hAnsi="Arial" w:cs="Arial"/>
              </w:rPr>
            </w:pPr>
          </w:p>
        </w:tc>
      </w:tr>
      <w:bookmarkEnd w:id="0"/>
      <w:tr w:rsidR="005B1DFB" w:rsidRPr="007B190B" w:rsidTr="007B190B">
        <w:trPr>
          <w:trHeight w:val="551"/>
        </w:trPr>
        <w:tc>
          <w:tcPr>
            <w:tcW w:w="1650" w:type="dxa"/>
            <w:vAlign w:val="center"/>
          </w:tcPr>
          <w:p w:rsidR="005B1DFB" w:rsidRPr="007B190B" w:rsidRDefault="002D3687" w:rsidP="008C2EF1">
            <w:pPr>
              <w:jc w:val="center"/>
              <w:rPr>
                <w:rFonts w:ascii="Arial" w:hAnsi="Arial" w:cs="Arial"/>
                <w:b/>
              </w:rPr>
            </w:pPr>
            <w:r w:rsidRPr="007B190B">
              <w:rPr>
                <w:rFonts w:ascii="Arial" w:hAnsi="Arial" w:cs="Arial"/>
                <w:b/>
              </w:rPr>
              <w:lastRenderedPageBreak/>
              <w:t>5.1</w:t>
            </w:r>
          </w:p>
        </w:tc>
        <w:tc>
          <w:tcPr>
            <w:tcW w:w="4270" w:type="dxa"/>
          </w:tcPr>
          <w:p w:rsidR="005B1DFB" w:rsidRPr="007B190B" w:rsidRDefault="005B1DFB" w:rsidP="008F106F">
            <w:pPr>
              <w:jc w:val="center"/>
              <w:rPr>
                <w:rFonts w:ascii="Arial" w:hAnsi="Arial" w:cs="Arial"/>
                <w:b/>
              </w:rPr>
            </w:pPr>
            <w:r w:rsidRPr="007B190B">
              <w:rPr>
                <w:rFonts w:ascii="Arial" w:hAnsi="Arial" w:cs="Arial"/>
                <w:b/>
              </w:rPr>
              <w:t>2011</w:t>
            </w:r>
          </w:p>
        </w:tc>
        <w:tc>
          <w:tcPr>
            <w:tcW w:w="4678" w:type="dxa"/>
          </w:tcPr>
          <w:p w:rsidR="005B1DFB" w:rsidRPr="007B190B" w:rsidRDefault="005B1DFB" w:rsidP="008F106F">
            <w:pPr>
              <w:jc w:val="center"/>
              <w:rPr>
                <w:rFonts w:ascii="Arial" w:hAnsi="Arial" w:cs="Arial"/>
                <w:b/>
              </w:rPr>
            </w:pPr>
            <w:r w:rsidRPr="007B190B">
              <w:rPr>
                <w:rFonts w:ascii="Arial" w:hAnsi="Arial" w:cs="Arial"/>
                <w:b/>
              </w:rPr>
              <w:t>2012</w:t>
            </w:r>
          </w:p>
        </w:tc>
        <w:tc>
          <w:tcPr>
            <w:tcW w:w="4833" w:type="dxa"/>
          </w:tcPr>
          <w:p w:rsidR="005B1DFB" w:rsidRPr="007B190B" w:rsidRDefault="005B1DFB" w:rsidP="008F106F">
            <w:pPr>
              <w:jc w:val="center"/>
              <w:rPr>
                <w:rFonts w:ascii="Arial" w:hAnsi="Arial" w:cs="Arial"/>
                <w:b/>
              </w:rPr>
            </w:pPr>
            <w:r w:rsidRPr="007B190B">
              <w:rPr>
                <w:rFonts w:ascii="Arial" w:hAnsi="Arial" w:cs="Arial"/>
                <w:b/>
              </w:rPr>
              <w:t>2013</w:t>
            </w:r>
            <w:r w:rsidR="00E2570C" w:rsidRPr="007B190B">
              <w:rPr>
                <w:rFonts w:ascii="Arial" w:hAnsi="Arial" w:cs="Arial"/>
                <w:b/>
              </w:rPr>
              <w:t>-2015</w:t>
            </w:r>
          </w:p>
        </w:tc>
      </w:tr>
      <w:tr w:rsidR="005B1DFB" w:rsidRPr="007B190B" w:rsidTr="007B190B">
        <w:trPr>
          <w:trHeight w:val="3239"/>
        </w:trPr>
        <w:tc>
          <w:tcPr>
            <w:tcW w:w="1650" w:type="dxa"/>
            <w:vAlign w:val="center"/>
          </w:tcPr>
          <w:p w:rsidR="005B1DFB" w:rsidRPr="007B190B" w:rsidRDefault="00A21FCD" w:rsidP="008C2EF1">
            <w:pPr>
              <w:jc w:val="center"/>
              <w:rPr>
                <w:rFonts w:ascii="Arial" w:hAnsi="Arial" w:cs="Arial"/>
                <w:b/>
              </w:rPr>
            </w:pPr>
            <w:r w:rsidRPr="007B190B">
              <w:rPr>
                <w:rFonts w:ascii="Arial" w:hAnsi="Arial" w:cs="Arial"/>
                <w:b/>
              </w:rPr>
              <w:t>Theme 2</w:t>
            </w:r>
          </w:p>
          <w:p w:rsidR="005B1DFB" w:rsidRPr="007B190B" w:rsidRDefault="005B1DFB" w:rsidP="008C2EF1">
            <w:pPr>
              <w:jc w:val="center"/>
              <w:rPr>
                <w:rFonts w:ascii="Arial" w:hAnsi="Arial" w:cs="Arial"/>
                <w:b/>
              </w:rPr>
            </w:pPr>
            <w:r w:rsidRPr="007B190B">
              <w:rPr>
                <w:rFonts w:ascii="Arial" w:hAnsi="Arial" w:cs="Arial"/>
                <w:b/>
              </w:rPr>
              <w:t>Development</w:t>
            </w:r>
          </w:p>
        </w:tc>
        <w:tc>
          <w:tcPr>
            <w:tcW w:w="4270" w:type="dxa"/>
            <w:vAlign w:val="center"/>
          </w:tcPr>
          <w:p w:rsidR="005B1DFB" w:rsidRPr="007B190B" w:rsidRDefault="00A21FCD" w:rsidP="00876D63">
            <w:pPr>
              <w:rPr>
                <w:rFonts w:ascii="Arial" w:hAnsi="Arial" w:cs="Arial"/>
              </w:rPr>
            </w:pPr>
            <w:r w:rsidRPr="007B190B">
              <w:rPr>
                <w:rFonts w:ascii="Arial" w:hAnsi="Arial" w:cs="Arial"/>
              </w:rPr>
              <w:t>Theme 2</w:t>
            </w:r>
            <w:r w:rsidR="005B1DFB" w:rsidRPr="007B190B">
              <w:rPr>
                <w:rFonts w:ascii="Arial" w:hAnsi="Arial" w:cs="Arial"/>
              </w:rPr>
              <w:t xml:space="preserve"> Staff can talk about their role in curriculum innovation and engage in regular dialogue with other colleagues (e.g. through professional learning communities, cluster activities and planned collegiate meetings).</w:t>
            </w:r>
          </w:p>
        </w:tc>
        <w:tc>
          <w:tcPr>
            <w:tcW w:w="4678" w:type="dxa"/>
            <w:vAlign w:val="center"/>
          </w:tcPr>
          <w:p w:rsidR="005B1DFB" w:rsidRPr="007B190B" w:rsidRDefault="00A21FCD" w:rsidP="00876D63">
            <w:pPr>
              <w:rPr>
                <w:rFonts w:ascii="Arial" w:hAnsi="Arial" w:cs="Arial"/>
              </w:rPr>
            </w:pPr>
            <w:r w:rsidRPr="007B190B">
              <w:rPr>
                <w:rFonts w:ascii="Arial" w:hAnsi="Arial" w:cs="Arial"/>
              </w:rPr>
              <w:t xml:space="preserve">Theme 2 </w:t>
            </w:r>
            <w:r w:rsidR="005B1DFB" w:rsidRPr="007B190B">
              <w:rPr>
                <w:rFonts w:ascii="Arial" w:hAnsi="Arial" w:cs="Arial"/>
              </w:rPr>
              <w:t>School staff work with a range of partners (including CLD) and stakeholders (including learners and parents) in curriculum developments on improvements to learning and teaching and helping children and young people achieve their goals.</w:t>
            </w:r>
          </w:p>
        </w:tc>
        <w:tc>
          <w:tcPr>
            <w:tcW w:w="4833" w:type="dxa"/>
            <w:vAlign w:val="center"/>
          </w:tcPr>
          <w:p w:rsidR="00927E26" w:rsidRPr="007B190B" w:rsidRDefault="00927E26" w:rsidP="00876D63">
            <w:pPr>
              <w:rPr>
                <w:rFonts w:ascii="Arial" w:hAnsi="Arial" w:cs="Arial"/>
              </w:rPr>
            </w:pPr>
          </w:p>
          <w:p w:rsidR="00C169F4" w:rsidRPr="007B190B" w:rsidRDefault="00A21FCD" w:rsidP="00876D63">
            <w:pPr>
              <w:rPr>
                <w:rFonts w:ascii="Arial" w:hAnsi="Arial" w:cs="Arial"/>
              </w:rPr>
            </w:pPr>
            <w:r w:rsidRPr="007B190B">
              <w:rPr>
                <w:rFonts w:ascii="Arial" w:hAnsi="Arial" w:cs="Arial"/>
              </w:rPr>
              <w:t xml:space="preserve">Theme 2 </w:t>
            </w:r>
            <w:r w:rsidR="00C169F4" w:rsidRPr="007B190B">
              <w:rPr>
                <w:rFonts w:ascii="Arial" w:hAnsi="Arial" w:cs="Arial"/>
              </w:rPr>
              <w:t>Staff work with parents to ensure there is a clear and shared understanding of the benefits to young people of planned changes to the curriculum.</w:t>
            </w:r>
            <w:r w:rsidR="00927E26" w:rsidRPr="007B190B">
              <w:rPr>
                <w:rFonts w:ascii="Arial" w:hAnsi="Arial" w:cs="Arial"/>
              </w:rPr>
              <w:t xml:space="preserve"> </w:t>
            </w:r>
            <w:r w:rsidR="00927E26" w:rsidRPr="007B190B">
              <w:rPr>
                <w:rFonts w:ascii="Arial" w:hAnsi="Arial" w:cs="Arial"/>
                <w:color w:val="000000"/>
              </w:rPr>
              <w:t>Schools and early learning and childcare settings for 3-5 year olds, along with partners, are further developing the curriculum to improve planning for progression through the BGE across all four aspects/contexts for learning.</w:t>
            </w:r>
          </w:p>
          <w:p w:rsidR="005B1DFB" w:rsidRPr="007B190B" w:rsidRDefault="005B1DFB" w:rsidP="00876D63">
            <w:pPr>
              <w:rPr>
                <w:rFonts w:ascii="Arial" w:hAnsi="Arial" w:cs="Arial"/>
              </w:rPr>
            </w:pPr>
          </w:p>
        </w:tc>
      </w:tr>
    </w:tbl>
    <w:p w:rsidR="007F22D3" w:rsidRPr="007B190B" w:rsidRDefault="007F22D3">
      <w:pPr>
        <w:rPr>
          <w:rFonts w:ascii="Arial" w:hAnsi="Arial" w:cs="Arial"/>
        </w:rPr>
      </w:pPr>
      <w:r w:rsidRPr="007B190B">
        <w:rPr>
          <w:rFonts w:ascii="Arial" w:hAnsi="Arial" w:cs="Arial"/>
        </w:rPr>
        <w:br w:type="page"/>
      </w:r>
    </w:p>
    <w:tbl>
      <w:tblPr>
        <w:tblStyle w:val="TableGrid"/>
        <w:tblW w:w="15431" w:type="dxa"/>
        <w:tblLook w:val="04A0" w:firstRow="1" w:lastRow="0" w:firstColumn="1" w:lastColumn="0" w:noHBand="0" w:noVBand="1"/>
      </w:tblPr>
      <w:tblGrid>
        <w:gridCol w:w="1650"/>
        <w:gridCol w:w="4593"/>
        <w:gridCol w:w="4594"/>
        <w:gridCol w:w="4594"/>
      </w:tblGrid>
      <w:tr w:rsidR="007F22D3" w:rsidRPr="007B190B" w:rsidTr="007F22D3">
        <w:trPr>
          <w:trHeight w:val="551"/>
        </w:trPr>
        <w:tc>
          <w:tcPr>
            <w:tcW w:w="1650" w:type="dxa"/>
            <w:vAlign w:val="center"/>
          </w:tcPr>
          <w:p w:rsidR="007F22D3" w:rsidRPr="007B190B" w:rsidRDefault="007F22D3" w:rsidP="005B33A7">
            <w:pPr>
              <w:jc w:val="center"/>
              <w:rPr>
                <w:rFonts w:ascii="Arial" w:hAnsi="Arial" w:cs="Arial"/>
                <w:b/>
              </w:rPr>
            </w:pPr>
            <w:r w:rsidRPr="007B190B">
              <w:rPr>
                <w:rFonts w:ascii="Arial" w:hAnsi="Arial" w:cs="Arial"/>
                <w:b/>
              </w:rPr>
              <w:lastRenderedPageBreak/>
              <w:t>5.1</w:t>
            </w:r>
          </w:p>
        </w:tc>
        <w:tc>
          <w:tcPr>
            <w:tcW w:w="4593" w:type="dxa"/>
          </w:tcPr>
          <w:p w:rsidR="007F22D3" w:rsidRPr="007B190B" w:rsidRDefault="007F22D3" w:rsidP="005B33A7">
            <w:pPr>
              <w:jc w:val="center"/>
              <w:rPr>
                <w:rFonts w:ascii="Arial" w:hAnsi="Arial" w:cs="Arial"/>
                <w:b/>
              </w:rPr>
            </w:pPr>
            <w:r w:rsidRPr="007B190B">
              <w:rPr>
                <w:rFonts w:ascii="Arial" w:hAnsi="Arial" w:cs="Arial"/>
                <w:b/>
              </w:rPr>
              <w:t>2011</w:t>
            </w:r>
          </w:p>
        </w:tc>
        <w:tc>
          <w:tcPr>
            <w:tcW w:w="4594" w:type="dxa"/>
          </w:tcPr>
          <w:p w:rsidR="007F22D3" w:rsidRPr="007B190B" w:rsidRDefault="007F22D3" w:rsidP="005B33A7">
            <w:pPr>
              <w:jc w:val="center"/>
              <w:rPr>
                <w:rFonts w:ascii="Arial" w:hAnsi="Arial" w:cs="Arial"/>
                <w:b/>
              </w:rPr>
            </w:pPr>
            <w:r w:rsidRPr="007B190B">
              <w:rPr>
                <w:rFonts w:ascii="Arial" w:hAnsi="Arial" w:cs="Arial"/>
                <w:b/>
              </w:rPr>
              <w:t>2012</w:t>
            </w:r>
          </w:p>
        </w:tc>
        <w:tc>
          <w:tcPr>
            <w:tcW w:w="4594" w:type="dxa"/>
          </w:tcPr>
          <w:p w:rsidR="007F22D3" w:rsidRPr="007B190B" w:rsidRDefault="007F22D3" w:rsidP="005B33A7">
            <w:pPr>
              <w:jc w:val="center"/>
              <w:rPr>
                <w:rFonts w:ascii="Arial" w:hAnsi="Arial" w:cs="Arial"/>
                <w:b/>
              </w:rPr>
            </w:pPr>
            <w:r w:rsidRPr="007B190B">
              <w:rPr>
                <w:rFonts w:ascii="Arial" w:hAnsi="Arial" w:cs="Arial"/>
                <w:b/>
              </w:rPr>
              <w:t>2013-2015</w:t>
            </w:r>
          </w:p>
        </w:tc>
      </w:tr>
      <w:tr w:rsidR="005B1DFB" w:rsidRPr="007B190B" w:rsidTr="008C2EF1">
        <w:trPr>
          <w:trHeight w:val="2985"/>
        </w:trPr>
        <w:tc>
          <w:tcPr>
            <w:tcW w:w="1650" w:type="dxa"/>
            <w:vAlign w:val="center"/>
          </w:tcPr>
          <w:p w:rsidR="005B1DFB" w:rsidRPr="007B190B" w:rsidRDefault="00A21FCD" w:rsidP="00DB5B20">
            <w:pPr>
              <w:jc w:val="center"/>
              <w:rPr>
                <w:rFonts w:ascii="Arial" w:hAnsi="Arial" w:cs="Arial"/>
                <w:b/>
              </w:rPr>
            </w:pPr>
            <w:r w:rsidRPr="007B190B">
              <w:rPr>
                <w:rFonts w:ascii="Arial" w:hAnsi="Arial" w:cs="Arial"/>
                <w:b/>
              </w:rPr>
              <w:t>Theme 3</w:t>
            </w:r>
            <w:r w:rsidR="005B1DFB" w:rsidRPr="007B190B">
              <w:rPr>
                <w:rFonts w:ascii="Arial" w:hAnsi="Arial" w:cs="Arial"/>
                <w:b/>
              </w:rPr>
              <w:t>(1)</w:t>
            </w:r>
          </w:p>
          <w:p w:rsidR="005B1DFB" w:rsidRPr="007B190B" w:rsidRDefault="005B1DFB" w:rsidP="00DB5B20">
            <w:pPr>
              <w:jc w:val="center"/>
              <w:rPr>
                <w:rFonts w:ascii="Arial" w:hAnsi="Arial" w:cs="Arial"/>
                <w:b/>
              </w:rPr>
            </w:pPr>
            <w:r w:rsidRPr="007B190B">
              <w:rPr>
                <w:rFonts w:ascii="Arial" w:hAnsi="Arial" w:cs="Arial"/>
                <w:b/>
              </w:rPr>
              <w:t>Programmes and courses</w:t>
            </w:r>
          </w:p>
        </w:tc>
        <w:tc>
          <w:tcPr>
            <w:tcW w:w="4593" w:type="dxa"/>
            <w:vAlign w:val="center"/>
          </w:tcPr>
          <w:p w:rsidR="005B1DFB" w:rsidRPr="007B190B" w:rsidRDefault="00A21FCD" w:rsidP="00876D63">
            <w:pPr>
              <w:rPr>
                <w:rFonts w:ascii="Arial" w:hAnsi="Arial" w:cs="Arial"/>
              </w:rPr>
            </w:pPr>
            <w:r w:rsidRPr="007B190B">
              <w:rPr>
                <w:rFonts w:ascii="Arial" w:hAnsi="Arial" w:cs="Arial"/>
              </w:rPr>
              <w:t>Theme 3</w:t>
            </w:r>
            <w:r w:rsidR="005B1DFB" w:rsidRPr="007B190B">
              <w:rPr>
                <w:rFonts w:ascii="Arial" w:hAnsi="Arial" w:cs="Arial"/>
              </w:rPr>
              <w:t>(1) Staff can talk about actual and planned developments in courses and programmes since August 2010, including the rationale for change and the expected outcomes for all learners.</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 3(1) </w:t>
            </w:r>
            <w:r w:rsidR="005B1DFB" w:rsidRPr="007B190B">
              <w:rPr>
                <w:rFonts w:ascii="Arial" w:hAnsi="Arial" w:cs="Arial"/>
              </w:rPr>
              <w:t>Staff are developing programmes and courses to effectively balance the progressive development of knowledge and skills as detailed in the Principles and Practice papers. They have flexibility in determining the content to be covered to provide stimulating, challenging, relevant and enjoyable experiences.</w:t>
            </w:r>
          </w:p>
        </w:tc>
        <w:tc>
          <w:tcPr>
            <w:tcW w:w="4594" w:type="dxa"/>
            <w:vAlign w:val="center"/>
          </w:tcPr>
          <w:p w:rsidR="00927E26" w:rsidRPr="007B190B" w:rsidRDefault="00A21FCD" w:rsidP="00876D63">
            <w:pPr>
              <w:pStyle w:val="ListParagraph"/>
              <w:autoSpaceDE w:val="0"/>
              <w:autoSpaceDN w:val="0"/>
              <w:adjustRightInd w:val="0"/>
              <w:spacing w:after="7" w:line="240" w:lineRule="auto"/>
              <w:rPr>
                <w:rFonts w:ascii="Arial" w:hAnsi="Arial" w:cs="Arial"/>
              </w:rPr>
            </w:pPr>
            <w:r w:rsidRPr="007B190B">
              <w:rPr>
                <w:rFonts w:ascii="Arial" w:hAnsi="Arial" w:cs="Arial"/>
              </w:rPr>
              <w:t xml:space="preserve">Theme 3(1) </w:t>
            </w:r>
            <w:r w:rsidR="00927E26" w:rsidRPr="007B190B">
              <w:rPr>
                <w:rFonts w:ascii="Arial" w:hAnsi="Arial" w:cs="Arial"/>
              </w:rPr>
              <w:t xml:space="preserve">At all stages learners’ experiences promote independence, responsibility and collaboration in learning, engaging children and young people in applying their learning and developing their skills. </w:t>
            </w:r>
          </w:p>
          <w:p w:rsidR="005B1DFB" w:rsidRPr="007B190B" w:rsidRDefault="005B1DFB" w:rsidP="00876D63">
            <w:pPr>
              <w:pStyle w:val="ListParagraph"/>
              <w:autoSpaceDE w:val="0"/>
              <w:autoSpaceDN w:val="0"/>
              <w:adjustRightInd w:val="0"/>
              <w:spacing w:after="7" w:line="240" w:lineRule="auto"/>
              <w:rPr>
                <w:rFonts w:ascii="Arial" w:hAnsi="Arial" w:cs="Arial"/>
              </w:rPr>
            </w:pPr>
          </w:p>
        </w:tc>
      </w:tr>
      <w:tr w:rsidR="005B1DFB" w:rsidRPr="007B190B" w:rsidTr="008C2EF1">
        <w:trPr>
          <w:trHeight w:val="2985"/>
        </w:trPr>
        <w:tc>
          <w:tcPr>
            <w:tcW w:w="1650" w:type="dxa"/>
            <w:vAlign w:val="center"/>
          </w:tcPr>
          <w:p w:rsidR="005B1DFB" w:rsidRPr="007B190B" w:rsidRDefault="00A21FCD" w:rsidP="00CA10EB">
            <w:pPr>
              <w:jc w:val="center"/>
              <w:rPr>
                <w:rFonts w:ascii="Arial" w:hAnsi="Arial" w:cs="Arial"/>
                <w:b/>
              </w:rPr>
            </w:pPr>
            <w:r w:rsidRPr="007B190B">
              <w:rPr>
                <w:rFonts w:ascii="Arial" w:hAnsi="Arial" w:cs="Arial"/>
                <w:b/>
              </w:rPr>
              <w:t>Theme 3</w:t>
            </w:r>
            <w:r w:rsidR="005B1DFB" w:rsidRPr="007B190B">
              <w:rPr>
                <w:rFonts w:ascii="Arial" w:hAnsi="Arial" w:cs="Arial"/>
                <w:b/>
              </w:rPr>
              <w:t>(2)</w:t>
            </w:r>
          </w:p>
          <w:p w:rsidR="005B1DFB" w:rsidRPr="007B190B" w:rsidRDefault="005B1DFB" w:rsidP="00CA10EB">
            <w:pPr>
              <w:jc w:val="center"/>
              <w:rPr>
                <w:rFonts w:ascii="Arial" w:hAnsi="Arial" w:cs="Arial"/>
                <w:b/>
              </w:rPr>
            </w:pPr>
            <w:r w:rsidRPr="007B190B">
              <w:rPr>
                <w:rFonts w:ascii="Arial" w:hAnsi="Arial" w:cs="Arial"/>
                <w:b/>
              </w:rPr>
              <w:t>Programmes and courses</w:t>
            </w:r>
          </w:p>
        </w:tc>
        <w:tc>
          <w:tcPr>
            <w:tcW w:w="4593" w:type="dxa"/>
            <w:vAlign w:val="center"/>
          </w:tcPr>
          <w:p w:rsidR="005B1DFB" w:rsidRPr="007B190B" w:rsidRDefault="00A21FCD" w:rsidP="00876D63">
            <w:pPr>
              <w:rPr>
                <w:rFonts w:ascii="Arial" w:hAnsi="Arial" w:cs="Arial"/>
              </w:rPr>
            </w:pPr>
            <w:r w:rsidRPr="007B190B">
              <w:rPr>
                <w:rFonts w:ascii="Arial" w:hAnsi="Arial" w:cs="Arial"/>
              </w:rPr>
              <w:t>Theme3(</w:t>
            </w:r>
            <w:r w:rsidR="005B1DFB" w:rsidRPr="007B190B">
              <w:rPr>
                <w:rFonts w:ascii="Arial" w:hAnsi="Arial" w:cs="Arial"/>
              </w:rPr>
              <w:t>2) Staff can talk confidently about actual and planned interdisciplinary learning</w:t>
            </w:r>
            <w:r w:rsidR="00E1494D" w:rsidRPr="007B190B">
              <w:rPr>
                <w:rFonts w:ascii="Arial" w:hAnsi="Arial" w:cs="Arial"/>
              </w:rPr>
              <w:t xml:space="preserve">, the use and selection of </w:t>
            </w:r>
            <w:proofErr w:type="spellStart"/>
            <w:r w:rsidR="00E1494D" w:rsidRPr="007B190B">
              <w:rPr>
                <w:rFonts w:ascii="Arial" w:hAnsi="Arial" w:cs="Arial"/>
              </w:rPr>
              <w:t>Es&amp;Os</w:t>
            </w:r>
            <w:proofErr w:type="spellEnd"/>
            <w:r w:rsidR="005B1DFB" w:rsidRPr="007B190B">
              <w:rPr>
                <w:rFonts w:ascii="Arial" w:hAnsi="Arial" w:cs="Arial"/>
              </w:rPr>
              <w:t xml:space="preserve"> and the extent to which they are impacting on outcomes for all learners.</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Theme3(2) </w:t>
            </w:r>
            <w:r w:rsidR="005B1DFB" w:rsidRPr="007B190B">
              <w:rPr>
                <w:rFonts w:ascii="Arial" w:hAnsi="Arial" w:cs="Arial"/>
              </w:rPr>
              <w:t>Staff are supporting learners to develop skills for learning, life and work and through well-planned interdisciplinary projects and studies which focus on a selection of Es and Os and support learners in making links across different aspects of their learning.</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Theme3(2) </w:t>
            </w:r>
            <w:r w:rsidR="005B1DFB" w:rsidRPr="007B190B">
              <w:rPr>
                <w:rFonts w:ascii="Arial" w:hAnsi="Arial" w:cs="Arial"/>
              </w:rPr>
              <w:t>Well-planned interdisciplinary projects and studies which focus on a selection of Es and Os and support learners in making links across different aspects of their learning and build in opportunities for progression in knowledge and understanding and skills.</w:t>
            </w:r>
          </w:p>
        </w:tc>
      </w:tr>
      <w:tr w:rsidR="007F22D3" w:rsidRPr="007B190B" w:rsidTr="007B190B">
        <w:trPr>
          <w:trHeight w:val="85"/>
        </w:trPr>
        <w:tc>
          <w:tcPr>
            <w:tcW w:w="1650" w:type="dxa"/>
            <w:vAlign w:val="center"/>
          </w:tcPr>
          <w:p w:rsidR="007F22D3" w:rsidRPr="007B190B" w:rsidRDefault="007F22D3" w:rsidP="005B33A7">
            <w:pPr>
              <w:jc w:val="center"/>
              <w:rPr>
                <w:rFonts w:ascii="Arial" w:hAnsi="Arial" w:cs="Arial"/>
                <w:b/>
              </w:rPr>
            </w:pPr>
            <w:r w:rsidRPr="007B190B">
              <w:rPr>
                <w:rFonts w:ascii="Arial" w:hAnsi="Arial" w:cs="Arial"/>
                <w:b/>
              </w:rPr>
              <w:t>Theme 3(3)</w:t>
            </w:r>
          </w:p>
          <w:p w:rsidR="007F22D3" w:rsidRPr="007B190B" w:rsidRDefault="007F22D3" w:rsidP="005B33A7">
            <w:pPr>
              <w:jc w:val="center"/>
              <w:rPr>
                <w:rFonts w:ascii="Arial" w:hAnsi="Arial" w:cs="Arial"/>
                <w:b/>
              </w:rPr>
            </w:pPr>
            <w:r w:rsidRPr="007B190B">
              <w:rPr>
                <w:rFonts w:ascii="Arial" w:hAnsi="Arial" w:cs="Arial"/>
                <w:b/>
              </w:rPr>
              <w:t>Programmes and courses</w:t>
            </w:r>
          </w:p>
        </w:tc>
        <w:tc>
          <w:tcPr>
            <w:tcW w:w="4593" w:type="dxa"/>
            <w:vAlign w:val="center"/>
          </w:tcPr>
          <w:p w:rsidR="007F22D3" w:rsidRPr="007B190B" w:rsidRDefault="007F22D3" w:rsidP="00876D63">
            <w:pPr>
              <w:rPr>
                <w:rFonts w:ascii="Arial" w:hAnsi="Arial" w:cs="Arial"/>
              </w:rPr>
            </w:pPr>
            <w:r w:rsidRPr="007B190B">
              <w:rPr>
                <w:rFonts w:ascii="Arial" w:hAnsi="Arial" w:cs="Arial"/>
              </w:rPr>
              <w:t>Theme 3(3) Staff are planning for progression through the CfE levels and into a senior phase with a range of provision and flexible pathways to meet all learners’ needs.</w:t>
            </w:r>
          </w:p>
        </w:tc>
        <w:tc>
          <w:tcPr>
            <w:tcW w:w="4594" w:type="dxa"/>
            <w:vAlign w:val="center"/>
          </w:tcPr>
          <w:p w:rsidR="007F22D3" w:rsidRPr="007B190B" w:rsidRDefault="007F22D3" w:rsidP="00876D63">
            <w:pPr>
              <w:rPr>
                <w:rFonts w:ascii="Arial" w:hAnsi="Arial" w:cs="Arial"/>
              </w:rPr>
            </w:pPr>
            <w:r w:rsidRPr="007B190B">
              <w:rPr>
                <w:rFonts w:ascii="Arial" w:hAnsi="Arial" w:cs="Arial"/>
              </w:rPr>
              <w:t>Theme 3(3) Staff meet the needs of all learners by planning for appropriate progression through breadth, challenge and application in learning.</w:t>
            </w:r>
          </w:p>
        </w:tc>
        <w:tc>
          <w:tcPr>
            <w:tcW w:w="4594" w:type="dxa"/>
            <w:vAlign w:val="center"/>
          </w:tcPr>
          <w:p w:rsidR="007F22D3" w:rsidRPr="007B190B" w:rsidRDefault="007F22D3" w:rsidP="00876D63">
            <w:pPr>
              <w:rPr>
                <w:rFonts w:ascii="Arial" w:hAnsi="Arial" w:cs="Arial"/>
              </w:rPr>
            </w:pPr>
            <w:r w:rsidRPr="007B190B">
              <w:rPr>
                <w:rFonts w:ascii="Arial" w:hAnsi="Arial" w:cs="Arial"/>
              </w:rPr>
              <w:t>Theme 3(3) Staff are further developing realistic and manageable approaches to assessing progress and achievement across all curriculum areas at early to fourth curriculum levels.</w:t>
            </w:r>
            <w:r w:rsidRPr="007B190B">
              <w:rPr>
                <w:rFonts w:ascii="Arial" w:hAnsi="Arial" w:cs="Arial"/>
                <w:color w:val="000000"/>
              </w:rPr>
              <w:t xml:space="preserve"> </w:t>
            </w:r>
            <w:r w:rsidRPr="007B190B">
              <w:rPr>
                <w:rFonts w:ascii="Arial" w:hAnsi="Arial" w:cs="Arial"/>
              </w:rPr>
              <w:t xml:space="preserve">Staff are supporting learners to develop skills for learning, life and work and are using relevant </w:t>
            </w:r>
            <w:proofErr w:type="spellStart"/>
            <w:r w:rsidRPr="007B190B">
              <w:rPr>
                <w:rFonts w:ascii="Arial" w:hAnsi="Arial" w:cs="Arial"/>
              </w:rPr>
              <w:t>Es</w:t>
            </w:r>
            <w:proofErr w:type="spellEnd"/>
            <w:r w:rsidRPr="007B190B">
              <w:rPr>
                <w:rFonts w:ascii="Arial" w:hAnsi="Arial" w:cs="Arial"/>
              </w:rPr>
              <w:t xml:space="preserve"> and </w:t>
            </w:r>
            <w:proofErr w:type="spellStart"/>
            <w:r w:rsidRPr="007B190B">
              <w:rPr>
                <w:rFonts w:ascii="Arial" w:hAnsi="Arial" w:cs="Arial"/>
              </w:rPr>
              <w:t>Os</w:t>
            </w:r>
            <w:proofErr w:type="spellEnd"/>
            <w:r w:rsidRPr="007B190B">
              <w:rPr>
                <w:rFonts w:ascii="Arial" w:hAnsi="Arial" w:cs="Arial"/>
              </w:rPr>
              <w:t>, to help learners acquire the key skills in literacy, numeracy and health and wellbeing, which allow for their application in a range of contexts.</w:t>
            </w:r>
          </w:p>
        </w:tc>
      </w:tr>
      <w:tr w:rsidR="007F22D3" w:rsidRPr="007B190B" w:rsidTr="007F22D3">
        <w:trPr>
          <w:trHeight w:val="551"/>
        </w:trPr>
        <w:tc>
          <w:tcPr>
            <w:tcW w:w="1650" w:type="dxa"/>
          </w:tcPr>
          <w:p w:rsidR="007F22D3" w:rsidRPr="007B190B" w:rsidRDefault="007F22D3" w:rsidP="005B33A7">
            <w:pPr>
              <w:jc w:val="center"/>
              <w:rPr>
                <w:rFonts w:ascii="Arial" w:hAnsi="Arial" w:cs="Arial"/>
                <w:b/>
              </w:rPr>
            </w:pPr>
            <w:r w:rsidRPr="007B190B">
              <w:rPr>
                <w:rFonts w:ascii="Arial" w:hAnsi="Arial" w:cs="Arial"/>
                <w:b/>
              </w:rPr>
              <w:t>5.1</w:t>
            </w:r>
          </w:p>
        </w:tc>
        <w:tc>
          <w:tcPr>
            <w:tcW w:w="4593" w:type="dxa"/>
          </w:tcPr>
          <w:p w:rsidR="007F22D3" w:rsidRPr="007B190B" w:rsidRDefault="007F22D3" w:rsidP="005B33A7">
            <w:pPr>
              <w:jc w:val="center"/>
              <w:rPr>
                <w:rFonts w:ascii="Arial" w:hAnsi="Arial" w:cs="Arial"/>
                <w:b/>
              </w:rPr>
            </w:pPr>
            <w:r w:rsidRPr="007B190B">
              <w:rPr>
                <w:rFonts w:ascii="Arial" w:hAnsi="Arial" w:cs="Arial"/>
                <w:b/>
              </w:rPr>
              <w:t>2011</w:t>
            </w:r>
          </w:p>
        </w:tc>
        <w:tc>
          <w:tcPr>
            <w:tcW w:w="4594" w:type="dxa"/>
          </w:tcPr>
          <w:p w:rsidR="007F22D3" w:rsidRPr="007B190B" w:rsidRDefault="007F22D3" w:rsidP="005B33A7">
            <w:pPr>
              <w:jc w:val="center"/>
              <w:rPr>
                <w:rFonts w:ascii="Arial" w:hAnsi="Arial" w:cs="Arial"/>
                <w:b/>
              </w:rPr>
            </w:pPr>
            <w:r w:rsidRPr="007B190B">
              <w:rPr>
                <w:rFonts w:ascii="Arial" w:hAnsi="Arial" w:cs="Arial"/>
                <w:b/>
              </w:rPr>
              <w:t>2012</w:t>
            </w:r>
          </w:p>
        </w:tc>
        <w:tc>
          <w:tcPr>
            <w:tcW w:w="4594" w:type="dxa"/>
          </w:tcPr>
          <w:p w:rsidR="007F22D3" w:rsidRPr="007B190B" w:rsidRDefault="007F22D3" w:rsidP="005B33A7">
            <w:pPr>
              <w:jc w:val="center"/>
              <w:rPr>
                <w:rFonts w:ascii="Arial" w:hAnsi="Arial" w:cs="Arial"/>
                <w:b/>
              </w:rPr>
            </w:pPr>
            <w:r w:rsidRPr="007B190B">
              <w:rPr>
                <w:rFonts w:ascii="Arial" w:hAnsi="Arial" w:cs="Arial"/>
                <w:b/>
              </w:rPr>
              <w:t>2013-2015</w:t>
            </w:r>
          </w:p>
        </w:tc>
      </w:tr>
      <w:tr w:rsidR="005B1DFB" w:rsidRPr="007B190B" w:rsidTr="008C2EF1">
        <w:trPr>
          <w:trHeight w:val="2985"/>
        </w:trPr>
        <w:tc>
          <w:tcPr>
            <w:tcW w:w="1650" w:type="dxa"/>
            <w:vAlign w:val="center"/>
          </w:tcPr>
          <w:p w:rsidR="005B1DFB" w:rsidRPr="007B190B" w:rsidRDefault="00A21FCD" w:rsidP="00822377">
            <w:pPr>
              <w:jc w:val="center"/>
              <w:rPr>
                <w:rFonts w:ascii="Arial" w:hAnsi="Arial" w:cs="Arial"/>
                <w:b/>
              </w:rPr>
            </w:pPr>
            <w:r w:rsidRPr="007B190B">
              <w:rPr>
                <w:rFonts w:ascii="Arial" w:hAnsi="Arial" w:cs="Arial"/>
                <w:b/>
              </w:rPr>
              <w:lastRenderedPageBreak/>
              <w:t>Theme 4(1)</w:t>
            </w:r>
          </w:p>
          <w:p w:rsidR="005B1DFB" w:rsidRPr="007B190B" w:rsidRDefault="005B1DFB" w:rsidP="00822377">
            <w:pPr>
              <w:jc w:val="center"/>
              <w:rPr>
                <w:rFonts w:ascii="Arial" w:hAnsi="Arial" w:cs="Arial"/>
                <w:b/>
              </w:rPr>
            </w:pPr>
            <w:r w:rsidRPr="007B190B">
              <w:rPr>
                <w:rFonts w:ascii="Arial" w:hAnsi="Arial" w:cs="Arial"/>
                <w:b/>
              </w:rPr>
              <w:t>Transitions</w:t>
            </w:r>
          </w:p>
        </w:tc>
        <w:tc>
          <w:tcPr>
            <w:tcW w:w="4593" w:type="dxa"/>
            <w:vAlign w:val="center"/>
          </w:tcPr>
          <w:p w:rsidR="005B1DFB" w:rsidRPr="007B190B" w:rsidRDefault="00A21FCD" w:rsidP="00876D63">
            <w:pPr>
              <w:rPr>
                <w:rFonts w:ascii="Arial" w:hAnsi="Arial" w:cs="Arial"/>
              </w:rPr>
            </w:pPr>
            <w:r w:rsidRPr="007B190B">
              <w:rPr>
                <w:rFonts w:ascii="Arial" w:hAnsi="Arial" w:cs="Arial"/>
              </w:rPr>
              <w:t>Theme 4</w:t>
            </w:r>
            <w:r w:rsidR="005B1DFB" w:rsidRPr="007B190B">
              <w:rPr>
                <w:rFonts w:ascii="Arial" w:hAnsi="Arial" w:cs="Arial"/>
              </w:rPr>
              <w:t>(1) Staff have taken steps to improve the range of opportunities for personal support and induction to the next phase of learning for all learners.</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 4(1) </w:t>
            </w:r>
            <w:r w:rsidR="005B1DFB" w:rsidRPr="007B190B">
              <w:rPr>
                <w:rFonts w:ascii="Arial" w:hAnsi="Arial" w:cs="Arial"/>
              </w:rPr>
              <w:t>Transition procedures ensure continuity and progression in learning particularly into P1, between P7 and S1 and from the BGE into senior phase.</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 4(1) </w:t>
            </w:r>
            <w:r w:rsidR="005B1DFB" w:rsidRPr="007B190B">
              <w:rPr>
                <w:rFonts w:ascii="Arial" w:hAnsi="Arial" w:cs="Arial"/>
              </w:rPr>
              <w:t>Transition procedures ensure continuity and progression in learning across all curriculum areas particularly into P1, between P7 and S1 and from the BGE into senior phase.</w:t>
            </w:r>
          </w:p>
        </w:tc>
      </w:tr>
      <w:tr w:rsidR="005B1DFB" w:rsidRPr="007B190B" w:rsidTr="008C2EF1">
        <w:trPr>
          <w:trHeight w:val="2985"/>
        </w:trPr>
        <w:tc>
          <w:tcPr>
            <w:tcW w:w="1650" w:type="dxa"/>
            <w:vAlign w:val="center"/>
          </w:tcPr>
          <w:p w:rsidR="005B1DFB" w:rsidRPr="007B190B" w:rsidRDefault="00A21FCD" w:rsidP="00DA6633">
            <w:pPr>
              <w:jc w:val="center"/>
              <w:rPr>
                <w:rFonts w:ascii="Arial" w:hAnsi="Arial" w:cs="Arial"/>
                <w:b/>
              </w:rPr>
            </w:pPr>
            <w:r w:rsidRPr="007B190B">
              <w:rPr>
                <w:rFonts w:ascii="Arial" w:hAnsi="Arial" w:cs="Arial"/>
                <w:b/>
              </w:rPr>
              <w:t>Theme 4(2)</w:t>
            </w:r>
          </w:p>
          <w:p w:rsidR="005B1DFB" w:rsidRPr="007B190B" w:rsidRDefault="005B1DFB" w:rsidP="00DA6633">
            <w:pPr>
              <w:jc w:val="center"/>
              <w:rPr>
                <w:rFonts w:ascii="Arial" w:hAnsi="Arial" w:cs="Arial"/>
                <w:b/>
              </w:rPr>
            </w:pPr>
            <w:r w:rsidRPr="007B190B">
              <w:rPr>
                <w:rFonts w:ascii="Arial" w:hAnsi="Arial" w:cs="Arial"/>
                <w:b/>
              </w:rPr>
              <w:t>Transitions</w:t>
            </w:r>
          </w:p>
        </w:tc>
        <w:tc>
          <w:tcPr>
            <w:tcW w:w="4593" w:type="dxa"/>
            <w:vAlign w:val="center"/>
          </w:tcPr>
          <w:p w:rsidR="005B1DFB" w:rsidRPr="007B190B" w:rsidRDefault="00A21FCD" w:rsidP="00876D63">
            <w:pPr>
              <w:rPr>
                <w:rFonts w:ascii="Arial" w:hAnsi="Arial" w:cs="Arial"/>
              </w:rPr>
            </w:pPr>
            <w:r w:rsidRPr="007B190B">
              <w:rPr>
                <w:rFonts w:ascii="Arial" w:hAnsi="Arial" w:cs="Arial"/>
              </w:rPr>
              <w:t>Theme 4</w:t>
            </w:r>
            <w:r w:rsidR="005B1DFB" w:rsidRPr="007B190B">
              <w:rPr>
                <w:rFonts w:ascii="Arial" w:hAnsi="Arial" w:cs="Arial"/>
              </w:rPr>
              <w:t>(2) Staff are developing effective means to monitor, track and promote the achievements of all learners.</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 4(2) </w:t>
            </w:r>
            <w:r w:rsidR="005B1DFB" w:rsidRPr="007B190B">
              <w:rPr>
                <w:rFonts w:ascii="Arial" w:hAnsi="Arial" w:cs="Arial"/>
              </w:rPr>
              <w:t>In primary schools, staff are embedding profiling and are supporting P7 pupils in producing their P7 profiles.</w:t>
            </w:r>
          </w:p>
        </w:tc>
        <w:tc>
          <w:tcPr>
            <w:tcW w:w="4594" w:type="dxa"/>
            <w:vAlign w:val="center"/>
          </w:tcPr>
          <w:p w:rsidR="005B1DFB" w:rsidRPr="007B190B" w:rsidRDefault="00A21FCD" w:rsidP="00876D63">
            <w:pPr>
              <w:rPr>
                <w:rFonts w:ascii="Arial" w:hAnsi="Arial" w:cs="Arial"/>
              </w:rPr>
            </w:pPr>
            <w:r w:rsidRPr="007B190B">
              <w:rPr>
                <w:rFonts w:ascii="Arial" w:hAnsi="Arial" w:cs="Arial"/>
              </w:rPr>
              <w:t xml:space="preserve">Theme 4(2) </w:t>
            </w:r>
            <w:r w:rsidR="005B1DFB" w:rsidRPr="007B190B">
              <w:rPr>
                <w:rFonts w:ascii="Arial" w:hAnsi="Arial" w:cs="Arial"/>
              </w:rPr>
              <w:t>Schools are further developing and embedding approaches to profiling, including where appropriate, using e-portfolios, and improving the quality and impact of the profiling process and the P7 and S3 profiles. This involves providing a clearer focus on skills development and using profiling to inform and improve future learning.</w:t>
            </w:r>
          </w:p>
        </w:tc>
      </w:tr>
      <w:tr w:rsidR="007F22D3" w:rsidRPr="007B190B" w:rsidTr="008C2EF1">
        <w:trPr>
          <w:trHeight w:val="2985"/>
        </w:trPr>
        <w:tc>
          <w:tcPr>
            <w:tcW w:w="1650" w:type="dxa"/>
            <w:vAlign w:val="center"/>
          </w:tcPr>
          <w:p w:rsidR="007F22D3" w:rsidRPr="007B190B" w:rsidRDefault="007F22D3" w:rsidP="005B33A7">
            <w:pPr>
              <w:jc w:val="center"/>
              <w:rPr>
                <w:rFonts w:ascii="Arial" w:hAnsi="Arial" w:cs="Arial"/>
                <w:b/>
              </w:rPr>
            </w:pPr>
            <w:r w:rsidRPr="007B190B">
              <w:rPr>
                <w:rFonts w:ascii="Arial" w:hAnsi="Arial" w:cs="Arial"/>
                <w:b/>
              </w:rPr>
              <w:t>Theme 4(3)</w:t>
            </w:r>
          </w:p>
          <w:p w:rsidR="007F22D3" w:rsidRPr="007B190B" w:rsidRDefault="007F22D3" w:rsidP="005B33A7">
            <w:pPr>
              <w:jc w:val="center"/>
              <w:rPr>
                <w:rFonts w:ascii="Arial" w:hAnsi="Arial" w:cs="Arial"/>
                <w:b/>
              </w:rPr>
            </w:pPr>
            <w:r w:rsidRPr="007B190B">
              <w:rPr>
                <w:rFonts w:ascii="Arial" w:hAnsi="Arial" w:cs="Arial"/>
                <w:b/>
              </w:rPr>
              <w:t>Transitions</w:t>
            </w:r>
          </w:p>
        </w:tc>
        <w:tc>
          <w:tcPr>
            <w:tcW w:w="4593" w:type="dxa"/>
            <w:vAlign w:val="center"/>
          </w:tcPr>
          <w:p w:rsidR="007F22D3" w:rsidRPr="007B190B" w:rsidRDefault="007F22D3" w:rsidP="00876D63">
            <w:pPr>
              <w:rPr>
                <w:rFonts w:ascii="Arial" w:hAnsi="Arial" w:cs="Arial"/>
              </w:rPr>
            </w:pPr>
            <w:r w:rsidRPr="007B190B">
              <w:rPr>
                <w:rFonts w:ascii="Arial" w:hAnsi="Arial" w:cs="Arial"/>
              </w:rPr>
              <w:t>Theme 4(3) Staff take account of what makes for effective transitions into, during and beyond and stage of young people’s learning including, where appropriate, split placements.</w:t>
            </w:r>
          </w:p>
        </w:tc>
        <w:tc>
          <w:tcPr>
            <w:tcW w:w="4594" w:type="dxa"/>
            <w:vAlign w:val="center"/>
          </w:tcPr>
          <w:p w:rsidR="007F22D3" w:rsidRPr="007B190B" w:rsidRDefault="007F22D3" w:rsidP="00876D63">
            <w:pPr>
              <w:rPr>
                <w:rFonts w:ascii="Arial" w:hAnsi="Arial" w:cs="Arial"/>
              </w:rPr>
            </w:pPr>
            <w:r w:rsidRPr="007B190B">
              <w:rPr>
                <w:rFonts w:ascii="Arial" w:hAnsi="Arial" w:cs="Arial"/>
              </w:rPr>
              <w:t>Theme 4(3) Curriculum transition procedures and programmes effectively meet the needs of all learners, including those with additional support needs.</w:t>
            </w:r>
          </w:p>
        </w:tc>
        <w:tc>
          <w:tcPr>
            <w:tcW w:w="4594" w:type="dxa"/>
            <w:vAlign w:val="center"/>
          </w:tcPr>
          <w:p w:rsidR="007F22D3" w:rsidRPr="007B190B" w:rsidRDefault="007F22D3" w:rsidP="00876D63">
            <w:pPr>
              <w:rPr>
                <w:rFonts w:ascii="Arial" w:hAnsi="Arial" w:cs="Arial"/>
              </w:rPr>
            </w:pPr>
            <w:r w:rsidRPr="007B190B">
              <w:rPr>
                <w:rFonts w:ascii="Arial" w:hAnsi="Arial" w:cs="Arial"/>
              </w:rPr>
              <w:t>Theme 4(3) Curriculum transition procedures and programmes effectively meet the needs of all learners, including those with additional support needs. Staff and partners collaborate in planning learning.</w:t>
            </w:r>
          </w:p>
        </w:tc>
      </w:tr>
    </w:tbl>
    <w:p w:rsidR="005B1DFB" w:rsidRPr="007B190B" w:rsidRDefault="005B1DFB">
      <w:pPr>
        <w:rPr>
          <w:rFonts w:ascii="Arial" w:hAnsi="Arial" w:cs="Arial"/>
        </w:rPr>
      </w:pPr>
    </w:p>
    <w:p w:rsidR="008A2DFD" w:rsidRPr="007B190B" w:rsidRDefault="008A2DFD" w:rsidP="008C2EF1">
      <w:pPr>
        <w:jc w:val="right"/>
        <w:rPr>
          <w:rFonts w:ascii="Arial" w:hAnsi="Arial" w:cs="Arial"/>
        </w:rPr>
      </w:pPr>
    </w:p>
    <w:sectPr w:rsidR="008A2DFD" w:rsidRPr="007B190B" w:rsidSect="008A2DF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5E" w:rsidRDefault="0045325E" w:rsidP="007B190B">
      <w:pPr>
        <w:spacing w:after="0" w:line="240" w:lineRule="auto"/>
      </w:pPr>
      <w:r>
        <w:separator/>
      </w:r>
    </w:p>
  </w:endnote>
  <w:endnote w:type="continuationSeparator" w:id="0">
    <w:p w:rsidR="0045325E" w:rsidRDefault="0045325E" w:rsidP="007B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0B" w:rsidRDefault="007B190B">
    <w:pPr>
      <w:pStyle w:val="Footer"/>
    </w:pPr>
    <w:r>
      <w:t>13.04.15</w:t>
    </w:r>
  </w:p>
  <w:p w:rsidR="007B190B" w:rsidRDefault="007B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5E" w:rsidRDefault="0045325E" w:rsidP="007B190B">
      <w:pPr>
        <w:spacing w:after="0" w:line="240" w:lineRule="auto"/>
      </w:pPr>
      <w:r>
        <w:separator/>
      </w:r>
    </w:p>
  </w:footnote>
  <w:footnote w:type="continuationSeparator" w:id="0">
    <w:p w:rsidR="0045325E" w:rsidRDefault="0045325E" w:rsidP="007B1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767"/>
    <w:multiLevelType w:val="hybridMultilevel"/>
    <w:tmpl w:val="B75A6990"/>
    <w:lvl w:ilvl="0" w:tplc="08090001">
      <w:start w:val="1"/>
      <w:numFmt w:val="bullet"/>
      <w:lvlText w:val=""/>
      <w:lvlJc w:val="left"/>
      <w:pPr>
        <w:tabs>
          <w:tab w:val="num" w:pos="720"/>
        </w:tabs>
        <w:ind w:left="720" w:hanging="360"/>
      </w:pPr>
      <w:rPr>
        <w:rFonts w:ascii="Symbol" w:hAnsi="Symbo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FD"/>
    <w:rsid w:val="000248A7"/>
    <w:rsid w:val="00031050"/>
    <w:rsid w:val="001053C4"/>
    <w:rsid w:val="00117515"/>
    <w:rsid w:val="002168E0"/>
    <w:rsid w:val="002D3687"/>
    <w:rsid w:val="00336EEB"/>
    <w:rsid w:val="0045325E"/>
    <w:rsid w:val="005371AF"/>
    <w:rsid w:val="005B1DFB"/>
    <w:rsid w:val="006B06A7"/>
    <w:rsid w:val="006C789B"/>
    <w:rsid w:val="007B190B"/>
    <w:rsid w:val="007F22D3"/>
    <w:rsid w:val="00822377"/>
    <w:rsid w:val="00876D63"/>
    <w:rsid w:val="008A2DFD"/>
    <w:rsid w:val="008C2EF1"/>
    <w:rsid w:val="0090249C"/>
    <w:rsid w:val="00927E26"/>
    <w:rsid w:val="009B2853"/>
    <w:rsid w:val="00A21FCD"/>
    <w:rsid w:val="00B90BA7"/>
    <w:rsid w:val="00C169F4"/>
    <w:rsid w:val="00CA10EB"/>
    <w:rsid w:val="00DA6633"/>
    <w:rsid w:val="00DB5B20"/>
    <w:rsid w:val="00E1494D"/>
    <w:rsid w:val="00E2570C"/>
    <w:rsid w:val="00E85153"/>
    <w:rsid w:val="00F8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E26"/>
    <w:pPr>
      <w:spacing w:after="160" w:line="259" w:lineRule="auto"/>
      <w:ind w:left="720"/>
      <w:contextualSpacing/>
    </w:pPr>
  </w:style>
  <w:style w:type="paragraph" w:styleId="BalloonText">
    <w:name w:val="Balloon Text"/>
    <w:basedOn w:val="Normal"/>
    <w:link w:val="BalloonTextChar"/>
    <w:uiPriority w:val="99"/>
    <w:semiHidden/>
    <w:unhideWhenUsed/>
    <w:rsid w:val="00E2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0C"/>
    <w:rPr>
      <w:rFonts w:ascii="Segoe UI" w:hAnsi="Segoe UI" w:cs="Segoe UI"/>
      <w:sz w:val="18"/>
      <w:szCs w:val="18"/>
    </w:rPr>
  </w:style>
  <w:style w:type="character" w:styleId="Hyperlink">
    <w:name w:val="Hyperlink"/>
    <w:basedOn w:val="DefaultParagraphFont"/>
    <w:uiPriority w:val="99"/>
    <w:unhideWhenUsed/>
    <w:rsid w:val="007B190B"/>
    <w:rPr>
      <w:color w:val="0000FF" w:themeColor="hyperlink"/>
      <w:u w:val="single"/>
    </w:rPr>
  </w:style>
  <w:style w:type="paragraph" w:styleId="Header">
    <w:name w:val="header"/>
    <w:basedOn w:val="Normal"/>
    <w:link w:val="HeaderChar"/>
    <w:uiPriority w:val="99"/>
    <w:unhideWhenUsed/>
    <w:rsid w:val="007B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90B"/>
  </w:style>
  <w:style w:type="paragraph" w:styleId="Footer">
    <w:name w:val="footer"/>
    <w:basedOn w:val="Normal"/>
    <w:link w:val="FooterChar"/>
    <w:uiPriority w:val="99"/>
    <w:unhideWhenUsed/>
    <w:rsid w:val="007B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E26"/>
    <w:pPr>
      <w:spacing w:after="160" w:line="259" w:lineRule="auto"/>
      <w:ind w:left="720"/>
      <w:contextualSpacing/>
    </w:pPr>
  </w:style>
  <w:style w:type="paragraph" w:styleId="BalloonText">
    <w:name w:val="Balloon Text"/>
    <w:basedOn w:val="Normal"/>
    <w:link w:val="BalloonTextChar"/>
    <w:uiPriority w:val="99"/>
    <w:semiHidden/>
    <w:unhideWhenUsed/>
    <w:rsid w:val="00E2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0C"/>
    <w:rPr>
      <w:rFonts w:ascii="Segoe UI" w:hAnsi="Segoe UI" w:cs="Segoe UI"/>
      <w:sz w:val="18"/>
      <w:szCs w:val="18"/>
    </w:rPr>
  </w:style>
  <w:style w:type="character" w:styleId="Hyperlink">
    <w:name w:val="Hyperlink"/>
    <w:basedOn w:val="DefaultParagraphFont"/>
    <w:uiPriority w:val="99"/>
    <w:unhideWhenUsed/>
    <w:rsid w:val="007B190B"/>
    <w:rPr>
      <w:color w:val="0000FF" w:themeColor="hyperlink"/>
      <w:u w:val="single"/>
    </w:rPr>
  </w:style>
  <w:style w:type="paragraph" w:styleId="Header">
    <w:name w:val="header"/>
    <w:basedOn w:val="Normal"/>
    <w:link w:val="HeaderChar"/>
    <w:uiPriority w:val="99"/>
    <w:unhideWhenUsed/>
    <w:rsid w:val="007B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90B"/>
  </w:style>
  <w:style w:type="paragraph" w:styleId="Footer">
    <w:name w:val="footer"/>
    <w:basedOn w:val="Normal"/>
    <w:link w:val="FooterChar"/>
    <w:uiPriority w:val="99"/>
    <w:unhideWhenUsed/>
    <w:rsid w:val="007B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resources/i/genericresource_tcm4832425.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Gormley A (Tony)</cp:lastModifiedBy>
  <cp:revision>8</cp:revision>
  <cp:lastPrinted>2014-10-02T16:32:00Z</cp:lastPrinted>
  <dcterms:created xsi:type="dcterms:W3CDTF">2014-09-01T12:22:00Z</dcterms:created>
  <dcterms:modified xsi:type="dcterms:W3CDTF">2015-04-13T15:33:00Z</dcterms:modified>
</cp:coreProperties>
</file>