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Medium" w:hAnsi="ClanLF-Medium" w:cs="ClanLF-Medium"/>
          <w:b/>
          <w:color w:val="27BDD8"/>
          <w:sz w:val="36"/>
          <w:szCs w:val="36"/>
        </w:rPr>
      </w:pPr>
      <w:bookmarkStart w:id="0" w:name="_GoBack"/>
      <w:bookmarkEnd w:id="0"/>
      <w:r w:rsidRPr="00382CEF">
        <w:rPr>
          <w:rFonts w:ascii="ClanLF-Medium" w:hAnsi="ClanLF-Medium" w:cs="ClanLF-Medium"/>
          <w:b/>
          <w:color w:val="27BDD8"/>
          <w:sz w:val="36"/>
          <w:szCs w:val="36"/>
        </w:rPr>
        <w:t>Building the Ambition</w:t>
      </w:r>
    </w:p>
    <w:p w:rsidR="00097120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  <w:r w:rsidRPr="00382CEF">
        <w:rPr>
          <w:rFonts w:ascii="ClanLF-Bold" w:hAnsi="ClanLF-Bold" w:cs="ClanLF-Bold"/>
          <w:bCs/>
          <w:color w:val="27BDD8"/>
          <w:sz w:val="24"/>
          <w:szCs w:val="24"/>
        </w:rPr>
        <w:t>National Practice Guidance on Early Learning and Childcare Children and Young People (Scotland) Act 2014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p w:rsidR="00382CEF" w:rsidRPr="00792654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/>
          <w:bCs/>
          <w:color w:val="4BACC6" w:themeColor="accent5"/>
          <w:sz w:val="28"/>
          <w:szCs w:val="28"/>
        </w:rPr>
      </w:pP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Our E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arly </w:t>
      </w: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L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earning and Childcare </w:t>
      </w:r>
      <w:r w:rsidRPr="00792654">
        <w:rPr>
          <w:rFonts w:ascii="ClanLF-Bold" w:hAnsi="ClanLF-Bold" w:cs="ClanLF-Bold"/>
          <w:b/>
          <w:bCs/>
          <w:color w:val="4BACC6" w:themeColor="accent5"/>
          <w:sz w:val="28"/>
          <w:szCs w:val="28"/>
        </w:rPr>
        <w:t>Environment</w:t>
      </w:r>
      <w:r w:rsidR="004B6BDF" w:rsidRPr="00792654">
        <w:rPr>
          <w:rFonts w:ascii="ClanLF-Bold" w:hAnsi="ClanLF-Bold" w:cs="ClanLF-Bold"/>
          <w:b/>
          <w:bCs/>
          <w:color w:val="4BACC6" w:themeColor="accent5"/>
          <w:sz w:val="28"/>
          <w:szCs w:val="28"/>
        </w:rPr>
        <w:t xml:space="preserve"> for the Young Child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2442"/>
        <w:gridCol w:w="3544"/>
      </w:tblGrid>
      <w:tr w:rsidR="00FA242F" w:rsidTr="00357853">
        <w:tc>
          <w:tcPr>
            <w:tcW w:w="4219" w:type="dxa"/>
          </w:tcPr>
          <w:p w:rsidR="00FA242F" w:rsidRPr="00992E5D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747FE6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</w:t>
            </w:r>
            <w:r w:rsidR="00747FE6"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Wellbeing</w:t>
            </w:r>
          </w:p>
        </w:tc>
        <w:tc>
          <w:tcPr>
            <w:tcW w:w="3969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82CEF" w:rsidTr="00357853">
        <w:tc>
          <w:tcPr>
            <w:tcW w:w="4219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Is thoughtfully arranged to give access which enables the young child to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make</w:t>
            </w:r>
            <w:proofErr w:type="gramEnd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choices and share in other people’s choices.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Is easily accessible to the practitioner to observe the young child and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support</w:t>
            </w:r>
            <w:proofErr w:type="gramEnd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them to express their feelings.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Provides a balance of both being inside and outside experiences to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increase</w:t>
            </w:r>
            <w:proofErr w:type="gramEnd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children’s confidence in a variety of environments.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Promotes the young child as an individual within their community where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their own names and those of their friends and family are used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frequently</w:t>
            </w:r>
            <w:proofErr w:type="gramEnd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.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Creates opportunities to be with others and empathising with them,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encouraging</w:t>
            </w:r>
            <w:proofErr w:type="gramEnd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opportunities for new friendships.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Is organised to promote physical development, movement and </w:t>
            </w:r>
            <w:proofErr w:type="spellStart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spacial</w:t>
            </w:r>
            <w:proofErr w:type="spellEnd"/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awareness</w:t>
            </w:r>
            <w:proofErr w:type="gramEnd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inside and outside.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357853" w:rsidRDefault="00357853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992E5D" w:rsidRDefault="00992E5D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357853" w:rsidRDefault="00357853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357853" w:rsidRDefault="00357853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357853" w:rsidTr="00357853">
        <w:tc>
          <w:tcPr>
            <w:tcW w:w="4219" w:type="dxa"/>
          </w:tcPr>
          <w:p w:rsidR="00747FE6" w:rsidRPr="00477CCC" w:rsidRDefault="00357853" w:rsidP="00747FE6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747FE6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 </w:t>
            </w:r>
            <w:r w:rsidR="00747FE6"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Communication</w:t>
            </w:r>
          </w:p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Tr="00357853">
        <w:tc>
          <w:tcPr>
            <w:tcW w:w="4219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Provides areas for children to enga</w:t>
            </w:r>
            <w:r w:rsidR="00477CCC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ge in conversations, small cosy </w:t>
            </w: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spaces, occasional large groups to talk, listen and share their ideas.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Is rich in opportunities for children to e</w:t>
            </w:r>
            <w:r w:rsidR="00477CCC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ngage in conversations, imagine </w:t>
            </w: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and create, find out and reason answers.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Encourages conversation about the he</w:t>
            </w:r>
            <w:r w:rsidR="00477CCC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re and now, the past and future </w:t>
            </w: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and discussions about the world around them.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Has appropriate resources; for example, dark coloured felt-tip pens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which make a clear mark on paper, a selection of paper organised in</w:t>
            </w:r>
          </w:p>
          <w:p w:rsid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different</w:t>
            </w:r>
            <w:proofErr w:type="gramEnd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sizes, shapes and colours, cards </w:t>
            </w:r>
            <w:r w:rsidR="00477CCC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and stickers which are </w:t>
            </w:r>
            <w:proofErr w:type="spellStart"/>
            <w:r w:rsidR="00477CCC">
              <w:rPr>
                <w:rFonts w:ascii="Clan-Book" w:hAnsi="Clan-Book" w:cs="Clan-Book"/>
                <w:color w:val="F47021"/>
                <w:sz w:val="18"/>
                <w:szCs w:val="18"/>
              </w:rPr>
              <w:t>relevant</w:t>
            </w: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for</w:t>
            </w:r>
            <w:proofErr w:type="spellEnd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children to use.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Has a library rich in books, favourite stories, fiction and non-fiction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books, books children have made themselves, recordings of experiences</w:t>
            </w:r>
          </w:p>
          <w:p w:rsid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and</w:t>
            </w:r>
            <w:proofErr w:type="gramEnd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stories they want to share and tell.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Provides for oral storytelling and books with more limited illustrations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when</w:t>
            </w:r>
            <w:proofErr w:type="gramEnd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a child is ready to enjoy these.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Uses environmental print recognisable to children to help a growing</w:t>
            </w:r>
          </w:p>
          <w:p w:rsid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understanding</w:t>
            </w:r>
            <w:proofErr w:type="gramEnd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that print has meaning.</w:t>
            </w: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357853" w:rsidRP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Uses technologies to widen children’s experiences of different methods</w:t>
            </w:r>
          </w:p>
          <w:p w:rsidR="00357853" w:rsidRDefault="0035785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>of</w:t>
            </w:r>
            <w:proofErr w:type="gramEnd"/>
            <w:r w:rsidRPr="00357853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communication.</w:t>
            </w:r>
          </w:p>
          <w:p w:rsidR="00477CCC" w:rsidRDefault="00477CCC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357853" w:rsidRDefault="00357853" w:rsidP="004B6BD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4B6BDF" w:rsidTr="00357853">
        <w:tc>
          <w:tcPr>
            <w:tcW w:w="4219" w:type="dxa"/>
          </w:tcPr>
          <w:p w:rsidR="004B6BDF" w:rsidRPr="00477CCC" w:rsidRDefault="004B6BDF" w:rsidP="004B6BD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Delivering on the principal drivers of early development and learning - </w:t>
            </w:r>
            <w:r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Promoting curiosity inquiry and creativity</w:t>
            </w:r>
          </w:p>
          <w:p w:rsidR="004B6BDF" w:rsidRPr="00477CCC" w:rsidRDefault="004B6BDF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</w:tc>
        <w:tc>
          <w:tcPr>
            <w:tcW w:w="3969" w:type="dxa"/>
          </w:tcPr>
          <w:p w:rsidR="004B6BDF" w:rsidRDefault="004B6BD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4B6BDF" w:rsidRDefault="004B6BD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4B6BDF" w:rsidRDefault="004B6BD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Tr="00357853">
        <w:tc>
          <w:tcPr>
            <w:tcW w:w="4219" w:type="dxa"/>
          </w:tcPr>
          <w:p w:rsidR="00477CCC" w:rsidRDefault="00477CCC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Encourages inquiry and invites discussion and </w:t>
            </w:r>
            <w:r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exploration with </w:t>
            </w: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interesting objects to talk about and explore, stimulating curiosity.</w:t>
            </w:r>
          </w:p>
          <w:p w:rsidR="00477CCC" w:rsidRPr="00477CCC" w:rsidRDefault="00477CCC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477CCC" w:rsidRPr="00477CCC" w:rsidRDefault="00477CCC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Is supportive of giving time for the youn</w:t>
            </w:r>
            <w:r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g child to persevere with their </w:t>
            </w: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thinking and inquiries, to test </w:t>
            </w: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lastRenderedPageBreak/>
              <w:t>their own</w:t>
            </w:r>
            <w:r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theories out over several days </w:t>
            </w: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or re-examine the same experience again over time in a variety of ways.</w:t>
            </w:r>
            <w:r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For example, how to build a bridge across an area of the playroom using</w:t>
            </w:r>
          </w:p>
          <w:p w:rsidR="00477CCC" w:rsidRPr="00477CCC" w:rsidRDefault="00477CCC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different materials without being constrained by overly formal routines</w:t>
            </w:r>
          </w:p>
          <w:p w:rsidR="00477CCC" w:rsidRDefault="00477CCC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>
              <w:rPr>
                <w:rFonts w:ascii="Clan-Book" w:hAnsi="Clan-Book" w:cs="Clan-Book"/>
                <w:color w:val="F47021"/>
                <w:sz w:val="18"/>
                <w:szCs w:val="18"/>
              </w:rPr>
              <w:t>of</w:t>
            </w:r>
            <w:proofErr w:type="gramEnd"/>
            <w:r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the day.</w:t>
            </w:r>
          </w:p>
          <w:p w:rsidR="00477CCC" w:rsidRPr="00477CCC" w:rsidRDefault="00477CCC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477CCC" w:rsidRDefault="00477CCC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Offers daily access outside to the wid</w:t>
            </w:r>
            <w:r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er environment which is rich in </w:t>
            </w: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opportunities for inquiry learning.</w:t>
            </w:r>
          </w:p>
          <w:p w:rsidR="00477CCC" w:rsidRPr="00477CCC" w:rsidRDefault="00477CCC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477CCC" w:rsidRPr="00477CCC" w:rsidRDefault="00477CCC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Uses internal spaces flexibly as children test out their possibilities. For</w:t>
            </w:r>
          </w:p>
          <w:p w:rsidR="00477CCC" w:rsidRDefault="00477CCC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example what they could use to measure </w:t>
            </w:r>
            <w:r>
              <w:rPr>
                <w:rFonts w:ascii="Clan-Book" w:hAnsi="Clan-Book" w:cs="Clan-Book"/>
                <w:color w:val="F47021"/>
                <w:sz w:val="18"/>
                <w:szCs w:val="18"/>
              </w:rPr>
              <w:t>distance to the front door from t</w:t>
            </w: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he playroom or respond to changes o</w:t>
            </w:r>
            <w:r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f interest in children, such as </w:t>
            </w: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extending an area for large construct</w:t>
            </w:r>
            <w:r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ion as an immediate response to </w:t>
            </w: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children’s play and learning.</w:t>
            </w:r>
          </w:p>
          <w:p w:rsidR="00477CCC" w:rsidRPr="00477CCC" w:rsidRDefault="00477CCC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477CCC" w:rsidRPr="00477CCC" w:rsidRDefault="00477CCC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Is well organised to allow young</w:t>
            </w:r>
            <w:r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children the freedom to select </w:t>
            </w: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equipment and materials that they wis</w:t>
            </w:r>
            <w:r>
              <w:rPr>
                <w:rFonts w:ascii="Clan-Book" w:hAnsi="Clan-Book" w:cs="Clan-Book"/>
                <w:color w:val="F47021"/>
                <w:sz w:val="18"/>
                <w:szCs w:val="18"/>
              </w:rPr>
              <w:t>h and also appreciate they need t</w:t>
            </w:r>
            <w:r w:rsidRPr="00477CCC">
              <w:rPr>
                <w:rFonts w:ascii="Clan-Book" w:hAnsi="Clan-Book" w:cs="Clan-Book"/>
                <w:color w:val="F47021"/>
                <w:sz w:val="18"/>
                <w:szCs w:val="18"/>
              </w:rPr>
              <w:t>o accommodate the choices of others</w:t>
            </w:r>
          </w:p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</w:tbl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sectPr w:rsidR="00382CEF" w:rsidRPr="00382CEF" w:rsidSect="00382CEF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LF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L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F"/>
    <w:rsid w:val="00037592"/>
    <w:rsid w:val="00097120"/>
    <w:rsid w:val="00357853"/>
    <w:rsid w:val="00382CEF"/>
    <w:rsid w:val="00477CCC"/>
    <w:rsid w:val="004B6BDF"/>
    <w:rsid w:val="007151FC"/>
    <w:rsid w:val="00747FE6"/>
    <w:rsid w:val="00792654"/>
    <w:rsid w:val="00992E5D"/>
    <w:rsid w:val="00AC3C58"/>
    <w:rsid w:val="00ED6B01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2015-09-08T10:17:00Z</cp:lastPrinted>
  <dcterms:created xsi:type="dcterms:W3CDTF">2015-11-17T11:10:00Z</dcterms:created>
  <dcterms:modified xsi:type="dcterms:W3CDTF">2015-11-17T11:10:00Z</dcterms:modified>
</cp:coreProperties>
</file>