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26" w:rsidRDefault="00B57326" w:rsidP="00122E14">
      <w:pPr>
        <w:jc w:val="center"/>
        <w:rPr>
          <w:rFonts w:cs="Arial"/>
          <w:b/>
          <w:szCs w:val="24"/>
        </w:rPr>
      </w:pPr>
      <w:r w:rsidRPr="00331A61">
        <w:rPr>
          <w:rFonts w:cs="Arial"/>
          <w:b/>
          <w:szCs w:val="24"/>
        </w:rPr>
        <w:t>Summary of resources available</w:t>
      </w:r>
    </w:p>
    <w:p w:rsidR="00B57326" w:rsidRPr="00331A61" w:rsidRDefault="00B57326" w:rsidP="00B57326">
      <w:pPr>
        <w:rPr>
          <w:rFonts w:cs="Arial"/>
          <w:b/>
          <w:szCs w:val="24"/>
        </w:rPr>
      </w:pPr>
    </w:p>
    <w:tbl>
      <w:tblPr>
        <w:tblStyle w:val="TableGrid"/>
        <w:tblW w:w="10207" w:type="dxa"/>
        <w:tblInd w:w="-714" w:type="dxa"/>
        <w:tblLayout w:type="fixed"/>
        <w:tblLook w:val="04A0"/>
      </w:tblPr>
      <w:tblGrid>
        <w:gridCol w:w="2836"/>
        <w:gridCol w:w="7371"/>
      </w:tblGrid>
      <w:tr w:rsidR="00B57326" w:rsidRPr="00F408EB" w:rsidTr="00E05B87">
        <w:tc>
          <w:tcPr>
            <w:tcW w:w="2836" w:type="dxa"/>
          </w:tcPr>
          <w:p w:rsidR="00B57326" w:rsidRPr="00F408EB" w:rsidRDefault="00B57326" w:rsidP="00E05B87">
            <w:pPr>
              <w:rPr>
                <w:rFonts w:cs="Arial"/>
                <w:b/>
                <w:szCs w:val="24"/>
              </w:rPr>
            </w:pPr>
            <w:r w:rsidRPr="00F408EB">
              <w:rPr>
                <w:rFonts w:cs="Arial"/>
                <w:b/>
                <w:szCs w:val="24"/>
              </w:rPr>
              <w:t>Resource</w:t>
            </w:r>
          </w:p>
        </w:tc>
        <w:tc>
          <w:tcPr>
            <w:tcW w:w="7371" w:type="dxa"/>
          </w:tcPr>
          <w:p w:rsidR="00B57326" w:rsidRPr="00F408EB" w:rsidRDefault="00B57326" w:rsidP="00E05B87">
            <w:pPr>
              <w:rPr>
                <w:rFonts w:cs="Arial"/>
                <w:b/>
                <w:szCs w:val="24"/>
              </w:rPr>
            </w:pPr>
            <w:r>
              <w:rPr>
                <w:rFonts w:cs="Arial"/>
                <w:b/>
                <w:szCs w:val="24"/>
              </w:rPr>
              <w:t>Overview of the content/aims</w:t>
            </w:r>
          </w:p>
        </w:tc>
      </w:tr>
      <w:tr w:rsidR="00B57326" w:rsidRPr="00F408EB" w:rsidTr="00E05B87">
        <w:tc>
          <w:tcPr>
            <w:tcW w:w="2836" w:type="dxa"/>
          </w:tcPr>
          <w:p w:rsidR="00B57326" w:rsidRDefault="00B57326" w:rsidP="00E05B87">
            <w:pPr>
              <w:rPr>
                <w:rFonts w:cs="Arial"/>
                <w:szCs w:val="24"/>
              </w:rPr>
            </w:pPr>
            <w:r w:rsidRPr="00F408EB">
              <w:rPr>
                <w:rFonts w:cs="Arial"/>
                <w:szCs w:val="24"/>
              </w:rPr>
              <w:t xml:space="preserve"> </w:t>
            </w:r>
            <w:r w:rsidR="00235C44" w:rsidRPr="00B57326">
              <w:rPr>
                <w:rFonts w:cs="Arial"/>
                <w:noProof/>
                <w:szCs w:val="24"/>
                <w:lang w:eastAsia="en-GB"/>
              </w:rPr>
              <w:drawing>
                <wp:inline distT="0" distB="0" distL="0" distR="0">
                  <wp:extent cx="1548771" cy="1600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stretch>
                            <a:fillRect/>
                          </a:stretch>
                        </pic:blipFill>
                        <pic:spPr>
                          <a:xfrm>
                            <a:off x="0" y="0"/>
                            <a:ext cx="1550385" cy="1601868"/>
                          </a:xfrm>
                          <a:prstGeom prst="rect">
                            <a:avLst/>
                          </a:prstGeom>
                        </pic:spPr>
                      </pic:pic>
                    </a:graphicData>
                  </a:graphic>
                </wp:inline>
              </w:drawing>
            </w:r>
          </w:p>
          <w:p w:rsidR="00B57326" w:rsidRPr="00F408EB" w:rsidRDefault="00B57326" w:rsidP="00B57326">
            <w:pPr>
              <w:jc w:val="center"/>
              <w:rPr>
                <w:rFonts w:cs="Arial"/>
                <w:szCs w:val="24"/>
              </w:rPr>
            </w:pPr>
            <w:r w:rsidRPr="00F408EB">
              <w:rPr>
                <w:rFonts w:cs="Arial"/>
                <w:szCs w:val="24"/>
              </w:rPr>
              <w:t>Drinks calculator</w:t>
            </w:r>
          </w:p>
        </w:tc>
        <w:tc>
          <w:tcPr>
            <w:tcW w:w="7371" w:type="dxa"/>
          </w:tcPr>
          <w:p w:rsidR="00B57326" w:rsidRPr="00F408EB" w:rsidRDefault="00B57326" w:rsidP="00E05B87">
            <w:pPr>
              <w:pStyle w:val="NoSpacing"/>
              <w:rPr>
                <w:rFonts w:ascii="Arial" w:hAnsi="Arial" w:cs="Arial"/>
                <w:sz w:val="24"/>
                <w:szCs w:val="24"/>
                <w:lang/>
              </w:rPr>
            </w:pPr>
            <w:r w:rsidRPr="00F408EB">
              <w:rPr>
                <w:rFonts w:ascii="Arial" w:hAnsi="Arial" w:cs="Arial"/>
                <w:sz w:val="24"/>
                <w:szCs w:val="24"/>
                <w:lang/>
              </w:rPr>
              <w:t>This is a</w:t>
            </w:r>
            <w:r>
              <w:rPr>
                <w:rFonts w:ascii="Arial" w:hAnsi="Arial" w:cs="Arial"/>
                <w:sz w:val="24"/>
                <w:szCs w:val="24"/>
                <w:lang/>
              </w:rPr>
              <w:t>n interactive</w:t>
            </w:r>
            <w:r w:rsidRPr="00F408EB">
              <w:rPr>
                <w:rFonts w:ascii="Arial" w:hAnsi="Arial" w:cs="Arial"/>
                <w:sz w:val="24"/>
                <w:szCs w:val="24"/>
                <w:lang/>
              </w:rPr>
              <w:t xml:space="preserve"> resource aimed to increase awareness of the unit content of different drinks</w:t>
            </w:r>
            <w:r w:rsidR="00FC4D81">
              <w:rPr>
                <w:rFonts w:ascii="Arial" w:hAnsi="Arial" w:cs="Arial"/>
                <w:sz w:val="24"/>
                <w:szCs w:val="24"/>
                <w:lang/>
              </w:rPr>
              <w:t xml:space="preserve"> as well as how many of those drinks make up 14 units</w:t>
            </w:r>
            <w:r w:rsidRPr="00F408EB">
              <w:rPr>
                <w:rFonts w:ascii="Arial" w:hAnsi="Arial" w:cs="Arial"/>
                <w:sz w:val="24"/>
                <w:szCs w:val="24"/>
                <w:lang/>
              </w:rPr>
              <w:t xml:space="preserve">.  </w:t>
            </w:r>
            <w:r w:rsidRPr="00F408EB">
              <w:rPr>
                <w:rFonts w:ascii="Arial" w:hAnsi="Arial" w:cs="Arial"/>
                <w:sz w:val="24"/>
                <w:szCs w:val="24"/>
                <w:lang w:val="en-US" w:eastAsia="en-GB"/>
              </w:rPr>
              <w:t>The resource is for members</w:t>
            </w:r>
            <w:r>
              <w:rPr>
                <w:rFonts w:ascii="Arial" w:hAnsi="Arial" w:cs="Arial"/>
                <w:sz w:val="24"/>
                <w:szCs w:val="24"/>
                <w:lang w:val="en-US" w:eastAsia="en-GB"/>
              </w:rPr>
              <w:t xml:space="preserve"> of the</w:t>
            </w:r>
            <w:r w:rsidRPr="00F408EB">
              <w:rPr>
                <w:rFonts w:ascii="Arial" w:hAnsi="Arial" w:cs="Arial"/>
                <w:sz w:val="24"/>
                <w:szCs w:val="24"/>
                <w:lang w:val="en-US" w:eastAsia="en-GB"/>
              </w:rPr>
              <w:t xml:space="preserve"> public and professional use</w:t>
            </w:r>
            <w:r w:rsidRPr="00F408EB">
              <w:rPr>
                <w:rFonts w:ascii="Arial" w:hAnsi="Arial" w:cs="Arial"/>
                <w:sz w:val="24"/>
                <w:szCs w:val="24"/>
                <w:lang w:val="en-US"/>
              </w:rPr>
              <w:t>.</w:t>
            </w:r>
          </w:p>
        </w:tc>
      </w:tr>
      <w:tr w:rsidR="00180936" w:rsidRPr="00F408EB" w:rsidTr="00C6014C">
        <w:tc>
          <w:tcPr>
            <w:tcW w:w="2836" w:type="dxa"/>
          </w:tcPr>
          <w:p w:rsidR="00180936" w:rsidRDefault="00180936" w:rsidP="00180936">
            <w:pPr>
              <w:rPr>
                <w:rFonts w:cs="Arial"/>
                <w:sz w:val="24"/>
                <w:szCs w:val="24"/>
              </w:rPr>
            </w:pPr>
            <w:r w:rsidRPr="00F408EB">
              <w:rPr>
                <w:rFonts w:cs="Arial"/>
                <w:noProof/>
                <w:sz w:val="24"/>
                <w:szCs w:val="24"/>
                <w:lang w:eastAsia="en-GB"/>
              </w:rPr>
              <w:drawing>
                <wp:inline distT="0" distB="0" distL="0" distR="0">
                  <wp:extent cx="617220" cy="808473"/>
                  <wp:effectExtent l="0" t="0" r="0" b="0"/>
                  <wp:docPr id="8" name="Picture 5" descr="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imag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671" cy="845740"/>
                          </a:xfrm>
                          <a:prstGeom prst="rect">
                            <a:avLst/>
                          </a:prstGeom>
                          <a:noFill/>
                          <a:ln>
                            <a:noFill/>
                          </a:ln>
                        </pic:spPr>
                      </pic:pic>
                    </a:graphicData>
                  </a:graphic>
                </wp:inline>
              </w:drawing>
            </w:r>
          </w:p>
          <w:p w:rsidR="00180936" w:rsidRPr="00F408EB" w:rsidRDefault="00180936" w:rsidP="00180936">
            <w:pPr>
              <w:rPr>
                <w:rFonts w:cs="Arial"/>
                <w:sz w:val="24"/>
                <w:szCs w:val="24"/>
              </w:rPr>
            </w:pPr>
            <w:r w:rsidRPr="00F408EB">
              <w:rPr>
                <w:rFonts w:cs="Arial"/>
                <w:sz w:val="24"/>
                <w:szCs w:val="24"/>
              </w:rPr>
              <w:t>Drinks calculator</w:t>
            </w:r>
          </w:p>
        </w:tc>
        <w:tc>
          <w:tcPr>
            <w:tcW w:w="7371" w:type="dxa"/>
          </w:tcPr>
          <w:p w:rsidR="00180936" w:rsidRPr="00F408EB" w:rsidRDefault="00180936" w:rsidP="00C6014C">
            <w:pPr>
              <w:pStyle w:val="NoSpacing"/>
              <w:rPr>
                <w:rFonts w:ascii="Arial" w:hAnsi="Arial" w:cs="Arial"/>
                <w:sz w:val="24"/>
                <w:szCs w:val="24"/>
                <w:lang/>
              </w:rPr>
            </w:pPr>
            <w:r w:rsidRPr="00F408EB">
              <w:rPr>
                <w:rFonts w:ascii="Arial" w:hAnsi="Arial" w:cs="Arial"/>
                <w:sz w:val="24"/>
                <w:szCs w:val="24"/>
                <w:lang/>
              </w:rPr>
              <w:t>This is a</w:t>
            </w:r>
            <w:r>
              <w:rPr>
                <w:rFonts w:ascii="Arial" w:hAnsi="Arial" w:cs="Arial"/>
                <w:sz w:val="24"/>
                <w:szCs w:val="24"/>
                <w:lang/>
              </w:rPr>
              <w:t>n interactive</w:t>
            </w:r>
            <w:r w:rsidRPr="00F408EB">
              <w:rPr>
                <w:rFonts w:ascii="Arial" w:hAnsi="Arial" w:cs="Arial"/>
                <w:sz w:val="24"/>
                <w:szCs w:val="24"/>
                <w:lang/>
              </w:rPr>
              <w:t xml:space="preserve"> resource aimed to increase awareness of the unit content of different drinks.  The resource helps people work out the number of units in different drinks and contains information around the low risk drinking guidelines.  </w:t>
            </w:r>
          </w:p>
          <w:p w:rsidR="00180936" w:rsidRPr="00F408EB" w:rsidRDefault="00180936" w:rsidP="00C6014C">
            <w:pPr>
              <w:pStyle w:val="NoSpacing"/>
              <w:rPr>
                <w:rFonts w:ascii="Arial" w:hAnsi="Arial" w:cs="Arial"/>
                <w:sz w:val="24"/>
                <w:szCs w:val="24"/>
                <w:lang/>
              </w:rPr>
            </w:pPr>
            <w:r w:rsidRPr="00F408EB">
              <w:rPr>
                <w:rFonts w:ascii="Arial" w:hAnsi="Arial" w:cs="Arial"/>
                <w:sz w:val="24"/>
                <w:szCs w:val="24"/>
                <w:lang w:val="en-US" w:eastAsia="en-GB"/>
              </w:rPr>
              <w:t>The resource is for members</w:t>
            </w:r>
            <w:r>
              <w:rPr>
                <w:rFonts w:ascii="Arial" w:hAnsi="Arial" w:cs="Arial"/>
                <w:sz w:val="24"/>
                <w:szCs w:val="24"/>
                <w:lang w:val="en-US" w:eastAsia="en-GB"/>
              </w:rPr>
              <w:t xml:space="preserve"> of the</w:t>
            </w:r>
            <w:r w:rsidRPr="00F408EB">
              <w:rPr>
                <w:rFonts w:ascii="Arial" w:hAnsi="Arial" w:cs="Arial"/>
                <w:sz w:val="24"/>
                <w:szCs w:val="24"/>
                <w:lang w:val="en-US" w:eastAsia="en-GB"/>
              </w:rPr>
              <w:t xml:space="preserve"> public and professional use</w:t>
            </w:r>
            <w:r w:rsidRPr="00F408EB">
              <w:rPr>
                <w:rFonts w:ascii="Arial" w:hAnsi="Arial" w:cs="Arial"/>
                <w:sz w:val="24"/>
                <w:szCs w:val="24"/>
                <w:lang w:val="en-US"/>
              </w:rPr>
              <w:t>.</w:t>
            </w:r>
          </w:p>
        </w:tc>
      </w:tr>
      <w:tr w:rsidR="00B57326" w:rsidRPr="00F408EB" w:rsidTr="00E05B87">
        <w:tc>
          <w:tcPr>
            <w:tcW w:w="2836" w:type="dxa"/>
          </w:tcPr>
          <w:p w:rsidR="00B57326" w:rsidRDefault="00B57326" w:rsidP="00E05B87">
            <w:pPr>
              <w:rPr>
                <w:rFonts w:cs="Arial"/>
                <w:szCs w:val="24"/>
              </w:rPr>
            </w:pPr>
          </w:p>
          <w:p w:rsidR="00B57326" w:rsidRDefault="00B57326" w:rsidP="00E05B87">
            <w:pPr>
              <w:rPr>
                <w:rFonts w:cs="Arial"/>
                <w:szCs w:val="24"/>
              </w:rPr>
            </w:pPr>
            <w:r w:rsidRPr="00F408EB">
              <w:rPr>
                <w:rFonts w:cs="Arial"/>
                <w:noProof/>
                <w:szCs w:val="24"/>
                <w:lang w:eastAsia="en-GB"/>
              </w:rPr>
              <w:drawing>
                <wp:anchor distT="0" distB="0" distL="114300" distR="114300" simplePos="0" relativeHeight="251660288" behindDoc="1" locked="0" layoutInCell="1" allowOverlap="1">
                  <wp:simplePos x="0" y="0"/>
                  <wp:positionH relativeFrom="column">
                    <wp:posOffset>446495</wp:posOffset>
                  </wp:positionH>
                  <wp:positionV relativeFrom="paragraph">
                    <wp:posOffset>71755</wp:posOffset>
                  </wp:positionV>
                  <wp:extent cx="826770" cy="1202055"/>
                  <wp:effectExtent l="0" t="0" r="0" b="0"/>
                  <wp:wrapTight wrapText="bothSides">
                    <wp:wrapPolygon edited="0">
                      <wp:start x="0" y="0"/>
                      <wp:lineTo x="0" y="21223"/>
                      <wp:lineTo x="20903" y="21223"/>
                      <wp:lineTo x="20903" y="0"/>
                      <wp:lineTo x="0" y="0"/>
                    </wp:wrapPolygon>
                  </wp:wrapTight>
                  <wp:docPr id="87" name="Picture 87"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imag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1202055"/>
                          </a:xfrm>
                          <a:prstGeom prst="rect">
                            <a:avLst/>
                          </a:prstGeom>
                          <a:noFill/>
                          <a:ln>
                            <a:noFill/>
                          </a:ln>
                        </pic:spPr>
                      </pic:pic>
                    </a:graphicData>
                  </a:graphic>
                </wp:anchor>
              </w:drawing>
            </w:r>
          </w:p>
          <w:p w:rsidR="00B57326" w:rsidRDefault="00B57326" w:rsidP="00B57326">
            <w:pPr>
              <w:jc w:val="center"/>
              <w:rPr>
                <w:rFonts w:cs="Arial"/>
                <w:szCs w:val="24"/>
              </w:rPr>
            </w:pPr>
          </w:p>
          <w:p w:rsidR="00B57326" w:rsidRDefault="00B57326" w:rsidP="00B57326">
            <w:pPr>
              <w:jc w:val="center"/>
              <w:rPr>
                <w:rFonts w:cs="Arial"/>
                <w:szCs w:val="24"/>
              </w:rPr>
            </w:pPr>
          </w:p>
          <w:p w:rsidR="00B57326" w:rsidRDefault="00B57326" w:rsidP="00B57326">
            <w:pPr>
              <w:jc w:val="center"/>
              <w:rPr>
                <w:rFonts w:cs="Arial"/>
                <w:szCs w:val="24"/>
              </w:rPr>
            </w:pPr>
          </w:p>
          <w:p w:rsidR="00B57326" w:rsidRDefault="00B57326" w:rsidP="00B57326">
            <w:pPr>
              <w:jc w:val="center"/>
              <w:rPr>
                <w:rFonts w:cs="Arial"/>
                <w:szCs w:val="24"/>
              </w:rPr>
            </w:pPr>
          </w:p>
          <w:p w:rsidR="00B57326" w:rsidRDefault="00B57326" w:rsidP="00B57326">
            <w:pPr>
              <w:jc w:val="center"/>
              <w:rPr>
                <w:rFonts w:cs="Arial"/>
                <w:szCs w:val="24"/>
              </w:rPr>
            </w:pPr>
          </w:p>
          <w:p w:rsidR="00B57326" w:rsidRDefault="00B57326" w:rsidP="00B57326">
            <w:pPr>
              <w:jc w:val="center"/>
              <w:rPr>
                <w:rFonts w:cs="Arial"/>
                <w:szCs w:val="24"/>
              </w:rPr>
            </w:pPr>
          </w:p>
          <w:p w:rsidR="00B57326" w:rsidRDefault="00B57326" w:rsidP="00B57326">
            <w:pPr>
              <w:jc w:val="center"/>
              <w:rPr>
                <w:rFonts w:cs="Arial"/>
                <w:szCs w:val="24"/>
              </w:rPr>
            </w:pPr>
          </w:p>
          <w:p w:rsidR="00B57326" w:rsidRPr="00F408EB" w:rsidRDefault="00B57326" w:rsidP="00FC4D81">
            <w:pPr>
              <w:jc w:val="center"/>
              <w:rPr>
                <w:rFonts w:cs="Arial"/>
                <w:szCs w:val="24"/>
              </w:rPr>
            </w:pPr>
            <w:r w:rsidRPr="00F408EB">
              <w:rPr>
                <w:rFonts w:cs="Arial"/>
                <w:szCs w:val="24"/>
              </w:rPr>
              <w:t>Unit Measuring Cup</w:t>
            </w:r>
          </w:p>
        </w:tc>
        <w:tc>
          <w:tcPr>
            <w:tcW w:w="7371" w:type="dxa"/>
          </w:tcPr>
          <w:p w:rsidR="00B57326" w:rsidRPr="00F408EB" w:rsidRDefault="00B57326" w:rsidP="00E05B87">
            <w:pPr>
              <w:pStyle w:val="NoSpacing"/>
              <w:rPr>
                <w:rFonts w:ascii="Arial" w:hAnsi="Arial" w:cs="Arial"/>
                <w:sz w:val="24"/>
                <w:szCs w:val="24"/>
                <w:lang w:val="en-US" w:eastAsia="en-GB"/>
              </w:rPr>
            </w:pPr>
            <w:r w:rsidRPr="00F408EB">
              <w:rPr>
                <w:rFonts w:ascii="Arial" w:hAnsi="Arial" w:cs="Arial"/>
                <w:sz w:val="24"/>
                <w:szCs w:val="24"/>
                <w:lang/>
              </w:rPr>
              <w:t xml:space="preserve">This resource </w:t>
            </w:r>
            <w:r w:rsidRPr="00F408EB">
              <w:rPr>
                <w:rFonts w:ascii="Arial" w:hAnsi="Arial" w:cs="Arial"/>
                <w:sz w:val="24"/>
                <w:szCs w:val="24"/>
                <w:lang w:val="en-US" w:eastAsia="en-GB"/>
              </w:rPr>
              <w:t>provides individuals with practical guidance to help measure alcohol at home.  It has unit measurements for pouring spirits and wine and aims to help individuals monitor their alcohol consumption by measuring out their drinks.   The cup also contains the low risk drinking guidelines</w:t>
            </w:r>
            <w:r w:rsidR="00FC4D81">
              <w:rPr>
                <w:rFonts w:ascii="Arial" w:hAnsi="Arial" w:cs="Arial"/>
                <w:sz w:val="24"/>
                <w:szCs w:val="24"/>
                <w:lang w:val="en-US" w:eastAsia="en-GB"/>
              </w:rPr>
              <w:t xml:space="preserve">.  </w:t>
            </w:r>
            <w:r w:rsidRPr="00F408EB">
              <w:rPr>
                <w:rFonts w:ascii="Arial" w:hAnsi="Arial" w:cs="Arial"/>
                <w:sz w:val="24"/>
                <w:szCs w:val="24"/>
                <w:lang w:val="en-US" w:eastAsia="en-GB"/>
              </w:rPr>
              <w:t xml:space="preserve">This resource is for members of the </w:t>
            </w:r>
            <w:r>
              <w:rPr>
                <w:rFonts w:ascii="Arial" w:hAnsi="Arial" w:cs="Arial"/>
                <w:sz w:val="24"/>
                <w:szCs w:val="24"/>
                <w:lang w:val="en-US" w:eastAsia="en-GB"/>
              </w:rPr>
              <w:t>p</w:t>
            </w:r>
            <w:r w:rsidRPr="00F408EB">
              <w:rPr>
                <w:rFonts w:ascii="Arial" w:hAnsi="Arial" w:cs="Arial"/>
                <w:sz w:val="24"/>
                <w:szCs w:val="24"/>
                <w:lang w:val="en-US" w:eastAsia="en-GB"/>
              </w:rPr>
              <w:t xml:space="preserve">ublic </w:t>
            </w:r>
            <w:r>
              <w:rPr>
                <w:rFonts w:ascii="Arial" w:hAnsi="Arial" w:cs="Arial"/>
                <w:sz w:val="24"/>
                <w:szCs w:val="24"/>
                <w:lang w:val="en-US" w:eastAsia="en-GB"/>
              </w:rPr>
              <w:t xml:space="preserve">and for </w:t>
            </w:r>
            <w:r w:rsidRPr="00F408EB">
              <w:rPr>
                <w:rFonts w:ascii="Arial" w:hAnsi="Arial" w:cs="Arial"/>
                <w:sz w:val="24"/>
                <w:szCs w:val="24"/>
                <w:lang w:val="en-US" w:eastAsia="en-GB"/>
              </w:rPr>
              <w:t>professional use</w:t>
            </w:r>
            <w:r>
              <w:rPr>
                <w:rFonts w:ascii="Arial" w:hAnsi="Arial" w:cs="Arial"/>
                <w:sz w:val="24"/>
                <w:szCs w:val="24"/>
                <w:lang w:val="en-US" w:eastAsia="en-GB"/>
              </w:rPr>
              <w:t>.</w:t>
            </w:r>
          </w:p>
        </w:tc>
      </w:tr>
      <w:tr w:rsidR="00B57326" w:rsidRPr="00F408EB" w:rsidTr="0022168E">
        <w:trPr>
          <w:trHeight w:val="1956"/>
        </w:trPr>
        <w:tc>
          <w:tcPr>
            <w:tcW w:w="2836" w:type="dxa"/>
          </w:tcPr>
          <w:p w:rsidR="00B57326" w:rsidRDefault="00FC4D81" w:rsidP="00E05B87">
            <w:pPr>
              <w:rPr>
                <w:rFonts w:cs="Arial"/>
                <w:szCs w:val="24"/>
              </w:rPr>
            </w:pPr>
            <w:r>
              <w:rPr>
                <w:noProof/>
                <w:lang w:eastAsia="en-GB"/>
              </w:rPr>
              <w:drawing>
                <wp:anchor distT="0" distB="0" distL="114300" distR="114300" simplePos="0" relativeHeight="251663360" behindDoc="0" locked="0" layoutInCell="1" allowOverlap="1">
                  <wp:simplePos x="0" y="0"/>
                  <wp:positionH relativeFrom="column">
                    <wp:posOffset>635</wp:posOffset>
                  </wp:positionH>
                  <wp:positionV relativeFrom="paragraph">
                    <wp:posOffset>131899</wp:posOffset>
                  </wp:positionV>
                  <wp:extent cx="16637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3700" cy="876300"/>
                          </a:xfrm>
                          <a:prstGeom prst="rect">
                            <a:avLst/>
                          </a:prstGeom>
                        </pic:spPr>
                      </pic:pic>
                    </a:graphicData>
                  </a:graphic>
                </wp:anchor>
              </w:drawing>
            </w:r>
          </w:p>
          <w:p w:rsidR="00B57326" w:rsidRPr="00706B82" w:rsidRDefault="00B57326" w:rsidP="00FC4D81">
            <w:pPr>
              <w:jc w:val="center"/>
              <w:rPr>
                <w:rFonts w:cs="Arial"/>
                <w:szCs w:val="24"/>
              </w:rPr>
            </w:pPr>
            <w:r>
              <w:rPr>
                <w:rFonts w:cs="Arial"/>
                <w:szCs w:val="24"/>
              </w:rPr>
              <w:t>Count 14 Posters</w:t>
            </w:r>
          </w:p>
        </w:tc>
        <w:tc>
          <w:tcPr>
            <w:tcW w:w="7371" w:type="dxa"/>
          </w:tcPr>
          <w:p w:rsidR="00B57326" w:rsidRPr="00AC77A1" w:rsidRDefault="00AC77A1" w:rsidP="00EB688F">
            <w:pPr>
              <w:pStyle w:val="NoSpacing"/>
              <w:rPr>
                <w:rFonts w:ascii="Arial" w:hAnsi="Arial" w:cs="Arial"/>
                <w:color w:val="337AB7"/>
                <w:sz w:val="24"/>
                <w:szCs w:val="24"/>
                <w:lang/>
              </w:rPr>
            </w:pPr>
            <w:r w:rsidRPr="00AC77A1">
              <w:rPr>
                <w:rFonts w:ascii="Arial" w:hAnsi="Arial" w:cs="Arial"/>
                <w:sz w:val="24"/>
                <w:szCs w:val="24"/>
                <w:lang/>
              </w:rPr>
              <w:t xml:space="preserve">These posters display the 3 main examples of drinks making up 14 </w:t>
            </w:r>
            <w:proofErr w:type="gramStart"/>
            <w:r w:rsidRPr="00AC77A1">
              <w:rPr>
                <w:rFonts w:ascii="Arial" w:hAnsi="Arial" w:cs="Arial"/>
                <w:sz w:val="24"/>
                <w:szCs w:val="24"/>
                <w:lang/>
              </w:rPr>
              <w:t>units ;</w:t>
            </w:r>
            <w:proofErr w:type="gramEnd"/>
            <w:r w:rsidRPr="00AC77A1">
              <w:rPr>
                <w:rFonts w:ascii="Arial" w:hAnsi="Arial" w:cs="Arial"/>
                <w:sz w:val="24"/>
                <w:szCs w:val="24"/>
                <w:lang/>
              </w:rPr>
              <w:t xml:space="preserve"> six pints of beer/cider, 6 medium glasses of wine and 7 double measures of spirits.  They also contain the low-risk guidelines messaging around 14 units and spreading drinking over at</w:t>
            </w:r>
            <w:r w:rsidR="003439EF">
              <w:rPr>
                <w:rFonts w:ascii="Arial" w:hAnsi="Arial" w:cs="Arial"/>
                <w:sz w:val="24"/>
                <w:szCs w:val="24"/>
                <w:lang/>
              </w:rPr>
              <w:t xml:space="preserve"> least 3 days as well as</w:t>
            </w:r>
            <w:r w:rsidRPr="00AC77A1">
              <w:rPr>
                <w:rFonts w:ascii="Arial" w:hAnsi="Arial" w:cs="Arial"/>
                <w:sz w:val="24"/>
                <w:szCs w:val="24"/>
                <w:lang/>
              </w:rPr>
              <w:t xml:space="preserve"> the count14.scot website.</w:t>
            </w:r>
            <w:r w:rsidR="00E51B9A">
              <w:rPr>
                <w:rFonts w:ascii="Arial" w:hAnsi="Arial" w:cs="Arial"/>
                <w:sz w:val="24"/>
                <w:szCs w:val="24"/>
                <w:lang/>
              </w:rPr>
              <w:t xml:space="preserve">  </w:t>
            </w:r>
          </w:p>
        </w:tc>
      </w:tr>
      <w:tr w:rsidR="00B57326" w:rsidRPr="00F408EB" w:rsidTr="00E05B87">
        <w:tc>
          <w:tcPr>
            <w:tcW w:w="2836" w:type="dxa"/>
          </w:tcPr>
          <w:p w:rsidR="00B57326" w:rsidRDefault="00B57326" w:rsidP="00B57326">
            <w:pPr>
              <w:rPr>
                <w:rFonts w:cs="Arial"/>
                <w:szCs w:val="24"/>
              </w:rPr>
            </w:pPr>
            <w:r w:rsidRPr="00F408EB">
              <w:rPr>
                <w:rFonts w:cs="Arial"/>
                <w:noProof/>
                <w:szCs w:val="24"/>
                <w:lang w:eastAsia="en-GB"/>
              </w:rPr>
              <w:drawing>
                <wp:anchor distT="0" distB="0" distL="114300" distR="114300" simplePos="0" relativeHeight="251661312" behindDoc="1" locked="0" layoutInCell="1" allowOverlap="1">
                  <wp:simplePos x="0" y="0"/>
                  <wp:positionH relativeFrom="column">
                    <wp:posOffset>402590</wp:posOffset>
                  </wp:positionH>
                  <wp:positionV relativeFrom="paragraph">
                    <wp:posOffset>163830</wp:posOffset>
                  </wp:positionV>
                  <wp:extent cx="870585" cy="1279525"/>
                  <wp:effectExtent l="0" t="0" r="5715" b="0"/>
                  <wp:wrapTight wrapText="bothSides">
                    <wp:wrapPolygon edited="0">
                      <wp:start x="0" y="0"/>
                      <wp:lineTo x="0" y="21225"/>
                      <wp:lineTo x="21269" y="21225"/>
                      <wp:lineTo x="21269" y="0"/>
                      <wp:lineTo x="0" y="0"/>
                    </wp:wrapPolygon>
                  </wp:wrapTight>
                  <wp:docPr id="11" name="Picture 11" descr="thumbnail image for 541 wid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for 541 width=">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1279525"/>
                          </a:xfrm>
                          <a:prstGeom prst="rect">
                            <a:avLst/>
                          </a:prstGeom>
                          <a:noFill/>
                          <a:ln>
                            <a:noFill/>
                          </a:ln>
                        </pic:spPr>
                      </pic:pic>
                    </a:graphicData>
                  </a:graphic>
                </wp:anchor>
              </w:drawing>
            </w:r>
            <w:r w:rsidRPr="00F408EB">
              <w:rPr>
                <w:rFonts w:cs="Arial"/>
                <w:szCs w:val="24"/>
              </w:rPr>
              <w:t xml:space="preserve">   </w:t>
            </w:r>
          </w:p>
          <w:p w:rsidR="00B57326" w:rsidRDefault="00B57326" w:rsidP="00B57326">
            <w:pPr>
              <w:rPr>
                <w:rFonts w:cs="Arial"/>
                <w:szCs w:val="24"/>
              </w:rPr>
            </w:pPr>
          </w:p>
          <w:p w:rsidR="00B57326" w:rsidRDefault="00B57326" w:rsidP="00B57326">
            <w:pPr>
              <w:rPr>
                <w:rFonts w:cs="Arial"/>
                <w:szCs w:val="24"/>
              </w:rPr>
            </w:pPr>
            <w:r w:rsidRPr="00F408EB">
              <w:rPr>
                <w:rFonts w:cs="Arial"/>
                <w:szCs w:val="24"/>
              </w:rPr>
              <w:t xml:space="preserve"> </w:t>
            </w:r>
          </w:p>
          <w:p w:rsidR="00B57326" w:rsidRDefault="00B57326" w:rsidP="00B57326">
            <w:pPr>
              <w:rPr>
                <w:rFonts w:cs="Arial"/>
                <w:szCs w:val="24"/>
              </w:rPr>
            </w:pPr>
          </w:p>
          <w:p w:rsidR="00B57326" w:rsidRDefault="00B57326" w:rsidP="00B57326">
            <w:pPr>
              <w:rPr>
                <w:rFonts w:cs="Arial"/>
                <w:szCs w:val="24"/>
              </w:rPr>
            </w:pPr>
          </w:p>
          <w:p w:rsidR="00B57326" w:rsidRDefault="00B57326" w:rsidP="00B57326">
            <w:pPr>
              <w:rPr>
                <w:rFonts w:cs="Arial"/>
                <w:szCs w:val="24"/>
              </w:rPr>
            </w:pPr>
          </w:p>
          <w:p w:rsidR="00B57326" w:rsidRDefault="00B57326" w:rsidP="00B57326">
            <w:pPr>
              <w:jc w:val="center"/>
              <w:rPr>
                <w:rFonts w:cs="Arial"/>
                <w:szCs w:val="24"/>
              </w:rPr>
            </w:pPr>
            <w:r w:rsidRPr="00F408EB">
              <w:rPr>
                <w:rFonts w:cs="Arial"/>
                <w:szCs w:val="24"/>
              </w:rPr>
              <w:t>Daily Diary</w:t>
            </w:r>
          </w:p>
        </w:tc>
        <w:tc>
          <w:tcPr>
            <w:tcW w:w="7371" w:type="dxa"/>
          </w:tcPr>
          <w:p w:rsidR="00B57326" w:rsidRPr="00F408EB" w:rsidRDefault="00B57326" w:rsidP="00B57326">
            <w:pPr>
              <w:pStyle w:val="NoSpacing"/>
              <w:rPr>
                <w:rFonts w:ascii="Arial" w:hAnsi="Arial" w:cs="Arial"/>
                <w:sz w:val="24"/>
                <w:szCs w:val="24"/>
                <w:lang w:eastAsia="en-GB"/>
              </w:rPr>
            </w:pPr>
            <w:r w:rsidRPr="00F408EB">
              <w:rPr>
                <w:rFonts w:ascii="Arial" w:hAnsi="Arial" w:cs="Arial"/>
                <w:sz w:val="24"/>
                <w:szCs w:val="24"/>
                <w:lang w:eastAsia="en-GB"/>
              </w:rPr>
              <w:t>This resource </w:t>
            </w:r>
            <w:r w:rsidRPr="00F408EB">
              <w:rPr>
                <w:rFonts w:ascii="Arial" w:hAnsi="Arial" w:cs="Arial"/>
                <w:sz w:val="24"/>
                <w:szCs w:val="24"/>
                <w:lang w:val="en-US" w:eastAsia="en-GB"/>
              </w:rPr>
              <w:t>supports individuals to monitor and record their drinking</w:t>
            </w:r>
            <w:r w:rsidRPr="00F408EB">
              <w:rPr>
                <w:rFonts w:ascii="Arial" w:hAnsi="Arial" w:cs="Arial"/>
                <w:sz w:val="24"/>
                <w:szCs w:val="24"/>
                <w:lang w:eastAsia="en-GB"/>
              </w:rPr>
              <w:t xml:space="preserve"> and provides </w:t>
            </w:r>
            <w:r w:rsidRPr="00F408EB">
              <w:rPr>
                <w:rFonts w:ascii="Arial" w:hAnsi="Arial" w:cs="Arial"/>
                <w:sz w:val="24"/>
                <w:szCs w:val="24"/>
                <w:lang w:val="en-US" w:eastAsia="en-GB"/>
              </w:rPr>
              <w:t>information around how to cut down/change their drinking</w:t>
            </w:r>
            <w:r w:rsidRPr="00F408EB">
              <w:rPr>
                <w:rFonts w:ascii="Arial" w:hAnsi="Arial" w:cs="Arial"/>
                <w:sz w:val="24"/>
                <w:szCs w:val="24"/>
                <w:lang w:eastAsia="en-GB"/>
              </w:rPr>
              <w:t>. It also contains details of the low risk drinking guidelines.  It is a useful resource for people to use if they are worried about their drinking or are looking to cut down on the amount they drink</w:t>
            </w:r>
            <w:r>
              <w:rPr>
                <w:rFonts w:ascii="Arial" w:hAnsi="Arial" w:cs="Arial"/>
                <w:sz w:val="24"/>
                <w:szCs w:val="24"/>
                <w:lang w:eastAsia="en-GB"/>
              </w:rPr>
              <w:t>.</w:t>
            </w:r>
          </w:p>
          <w:p w:rsidR="00B57326" w:rsidRPr="0022168E" w:rsidRDefault="00B57326" w:rsidP="00E05B87">
            <w:pPr>
              <w:pStyle w:val="NoSpacing"/>
              <w:rPr>
                <w:rFonts w:ascii="Arial" w:hAnsi="Arial" w:cs="Arial"/>
                <w:sz w:val="24"/>
                <w:szCs w:val="24"/>
                <w:lang w:val="en-US" w:eastAsia="en-GB"/>
              </w:rPr>
            </w:pPr>
            <w:r w:rsidRPr="00F408EB">
              <w:rPr>
                <w:rFonts w:ascii="Arial" w:hAnsi="Arial" w:cs="Arial"/>
                <w:sz w:val="24"/>
                <w:szCs w:val="24"/>
                <w:lang w:val="en-US" w:eastAsia="en-GB"/>
              </w:rPr>
              <w:t>The resource is targeted at adults.</w:t>
            </w:r>
          </w:p>
        </w:tc>
      </w:tr>
      <w:tr w:rsidR="00B57326" w:rsidRPr="00F408EB" w:rsidTr="00E05B87">
        <w:tc>
          <w:tcPr>
            <w:tcW w:w="2836" w:type="dxa"/>
          </w:tcPr>
          <w:p w:rsidR="00B57326" w:rsidRDefault="00B57326" w:rsidP="00B57326">
            <w:pPr>
              <w:rPr>
                <w:rFonts w:cs="Arial"/>
                <w:szCs w:val="24"/>
              </w:rPr>
            </w:pPr>
            <w:r w:rsidRPr="00F408EB">
              <w:rPr>
                <w:rFonts w:cs="Arial"/>
                <w:noProof/>
                <w:szCs w:val="24"/>
                <w:lang w:eastAsia="en-GB"/>
              </w:rPr>
              <w:lastRenderedPageBreak/>
              <w:drawing>
                <wp:anchor distT="0" distB="0" distL="114300" distR="114300" simplePos="0" relativeHeight="251662336" behindDoc="1" locked="0" layoutInCell="1" allowOverlap="1">
                  <wp:simplePos x="0" y="0"/>
                  <wp:positionH relativeFrom="column">
                    <wp:posOffset>402590</wp:posOffset>
                  </wp:positionH>
                  <wp:positionV relativeFrom="paragraph">
                    <wp:posOffset>103505</wp:posOffset>
                  </wp:positionV>
                  <wp:extent cx="870585" cy="1264285"/>
                  <wp:effectExtent l="0" t="0" r="5715" b="0"/>
                  <wp:wrapTight wrapText="bothSides">
                    <wp:wrapPolygon edited="0">
                      <wp:start x="0" y="0"/>
                      <wp:lineTo x="0" y="21155"/>
                      <wp:lineTo x="21269" y="21155"/>
                      <wp:lineTo x="21269" y="0"/>
                      <wp:lineTo x="0" y="0"/>
                    </wp:wrapPolygon>
                  </wp:wrapTight>
                  <wp:docPr id="12" name="Picture 12" descr="thumbnail image for 228 wid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image for 228 width=">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1264285"/>
                          </a:xfrm>
                          <a:prstGeom prst="rect">
                            <a:avLst/>
                          </a:prstGeom>
                          <a:noFill/>
                          <a:ln>
                            <a:noFill/>
                          </a:ln>
                        </pic:spPr>
                      </pic:pic>
                    </a:graphicData>
                  </a:graphic>
                </wp:anchor>
              </w:drawing>
            </w:r>
            <w:r>
              <w:rPr>
                <w:rFonts w:cs="Arial"/>
                <w:szCs w:val="24"/>
              </w:rPr>
              <w:t xml:space="preserve">  </w:t>
            </w:r>
          </w:p>
          <w:p w:rsidR="00B57326" w:rsidRDefault="00B57326" w:rsidP="00B57326">
            <w:pPr>
              <w:rPr>
                <w:rFonts w:cs="Arial"/>
                <w:szCs w:val="24"/>
              </w:rPr>
            </w:pPr>
          </w:p>
          <w:p w:rsidR="00B57326" w:rsidRDefault="00B57326" w:rsidP="00B57326">
            <w:pPr>
              <w:rPr>
                <w:rFonts w:cs="Arial"/>
                <w:szCs w:val="24"/>
              </w:rPr>
            </w:pPr>
          </w:p>
          <w:p w:rsidR="00B57326" w:rsidRDefault="00B57326" w:rsidP="00B57326">
            <w:pPr>
              <w:rPr>
                <w:rFonts w:cs="Arial"/>
                <w:szCs w:val="24"/>
              </w:rPr>
            </w:pPr>
          </w:p>
          <w:p w:rsidR="00B57326" w:rsidRDefault="00B57326" w:rsidP="00B57326">
            <w:pPr>
              <w:rPr>
                <w:rFonts w:cs="Arial"/>
                <w:szCs w:val="24"/>
              </w:rPr>
            </w:pPr>
          </w:p>
          <w:p w:rsidR="00B57326" w:rsidRDefault="00B57326" w:rsidP="00B57326">
            <w:pPr>
              <w:rPr>
                <w:rFonts w:cs="Arial"/>
                <w:szCs w:val="24"/>
              </w:rPr>
            </w:pPr>
          </w:p>
          <w:p w:rsidR="00B57326" w:rsidRDefault="00B57326" w:rsidP="00B57326">
            <w:pPr>
              <w:jc w:val="center"/>
              <w:rPr>
                <w:rFonts w:cs="Arial"/>
                <w:szCs w:val="24"/>
              </w:rPr>
            </w:pPr>
            <w:r w:rsidRPr="00F408EB">
              <w:rPr>
                <w:rFonts w:cs="Arial"/>
                <w:szCs w:val="24"/>
              </w:rPr>
              <w:t>Making a Change</w:t>
            </w:r>
          </w:p>
        </w:tc>
        <w:tc>
          <w:tcPr>
            <w:tcW w:w="7371" w:type="dxa"/>
          </w:tcPr>
          <w:p w:rsidR="00B57326" w:rsidRPr="00F408EB" w:rsidRDefault="00B57326" w:rsidP="00B57326">
            <w:pPr>
              <w:pStyle w:val="NoSpacing"/>
              <w:rPr>
                <w:rFonts w:ascii="Arial" w:hAnsi="Arial" w:cs="Arial"/>
                <w:sz w:val="24"/>
                <w:szCs w:val="24"/>
                <w:lang w:eastAsia="en-GB"/>
              </w:rPr>
            </w:pPr>
            <w:r w:rsidRPr="00F408EB">
              <w:rPr>
                <w:rFonts w:ascii="Arial" w:hAnsi="Arial" w:cs="Arial"/>
                <w:sz w:val="24"/>
                <w:szCs w:val="24"/>
                <w:lang w:eastAsia="en-GB"/>
              </w:rPr>
              <w:t xml:space="preserve">This resource </w:t>
            </w:r>
            <w:r w:rsidRPr="00F408EB">
              <w:rPr>
                <w:rFonts w:ascii="Arial" w:hAnsi="Arial" w:cs="Arial"/>
                <w:sz w:val="24"/>
                <w:szCs w:val="24"/>
                <w:lang w:val="en-US" w:eastAsia="en-GB"/>
              </w:rPr>
              <w:t>encourages individuals to make informed, positive choices regarding their alcohol intake</w:t>
            </w:r>
            <w:r w:rsidRPr="00F408EB">
              <w:rPr>
                <w:rFonts w:ascii="Arial" w:hAnsi="Arial" w:cs="Arial"/>
                <w:sz w:val="24"/>
                <w:szCs w:val="24"/>
                <w:lang w:eastAsia="en-GB"/>
              </w:rPr>
              <w:t>.  It contains information about alcohol, the low risk drinking guidelines, and the benefits of change, building confidence and how to go about making a change.</w:t>
            </w:r>
          </w:p>
          <w:p w:rsidR="00B57326" w:rsidRPr="0022168E" w:rsidRDefault="00B57326" w:rsidP="00E05B87">
            <w:pPr>
              <w:pStyle w:val="NoSpacing"/>
              <w:rPr>
                <w:rFonts w:ascii="Arial" w:hAnsi="Arial" w:cs="Arial"/>
                <w:sz w:val="24"/>
                <w:szCs w:val="24"/>
                <w:lang w:val="en-US" w:eastAsia="en-GB"/>
              </w:rPr>
            </w:pPr>
            <w:r w:rsidRPr="00F408EB">
              <w:rPr>
                <w:rFonts w:ascii="Arial" w:hAnsi="Arial" w:cs="Arial"/>
                <w:sz w:val="24"/>
                <w:szCs w:val="24"/>
                <w:lang w:val="en-US" w:eastAsia="en-GB"/>
              </w:rPr>
              <w:t>The resource is targeted at adults</w:t>
            </w:r>
            <w:r>
              <w:rPr>
                <w:rFonts w:ascii="Arial" w:hAnsi="Arial" w:cs="Arial"/>
                <w:sz w:val="24"/>
                <w:szCs w:val="24"/>
                <w:lang w:val="en-US" w:eastAsia="en-GB"/>
              </w:rPr>
              <w:t xml:space="preserve"> and is also available in Polish</w:t>
            </w:r>
            <w:r w:rsidRPr="00F408EB">
              <w:rPr>
                <w:rFonts w:ascii="Arial" w:hAnsi="Arial" w:cs="Arial"/>
                <w:sz w:val="24"/>
                <w:szCs w:val="24"/>
                <w:lang w:val="en-US" w:eastAsia="en-GB"/>
              </w:rPr>
              <w:t xml:space="preserve">. </w:t>
            </w:r>
          </w:p>
        </w:tc>
      </w:tr>
      <w:tr w:rsidR="00180936" w:rsidRPr="00F408EB" w:rsidTr="00C6014C">
        <w:tc>
          <w:tcPr>
            <w:tcW w:w="2836" w:type="dxa"/>
          </w:tcPr>
          <w:p w:rsidR="00180936" w:rsidRDefault="00180936" w:rsidP="00C6014C">
            <w:pPr>
              <w:rPr>
                <w:rFonts w:cs="Arial"/>
                <w:sz w:val="24"/>
                <w:szCs w:val="24"/>
              </w:rPr>
            </w:pPr>
            <w:r w:rsidRPr="006D213E">
              <w:rPr>
                <w:rFonts w:cs="Arial"/>
                <w:noProof/>
                <w:color w:val="337AB7"/>
                <w:lang w:eastAsia="en-GB"/>
              </w:rPr>
              <w:drawing>
                <wp:inline distT="0" distB="0" distL="0" distR="0">
                  <wp:extent cx="1022985" cy="1485265"/>
                  <wp:effectExtent l="0" t="0" r="5715" b="635"/>
                  <wp:docPr id="10"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2985" cy="1485265"/>
                          </a:xfrm>
                          <a:prstGeom prst="rect">
                            <a:avLst/>
                          </a:prstGeom>
                        </pic:spPr>
                      </pic:pic>
                    </a:graphicData>
                  </a:graphic>
                </wp:inline>
              </w:drawing>
            </w:r>
          </w:p>
          <w:p w:rsidR="00180936" w:rsidRDefault="00180936" w:rsidP="00C6014C">
            <w:pPr>
              <w:rPr>
                <w:rFonts w:cs="Arial"/>
                <w:sz w:val="24"/>
                <w:szCs w:val="24"/>
              </w:rPr>
            </w:pPr>
            <w:r w:rsidRPr="00F408EB">
              <w:rPr>
                <w:rFonts w:cs="Arial"/>
                <w:sz w:val="24"/>
                <w:szCs w:val="24"/>
              </w:rPr>
              <w:t>Alcohol Brief Intervention practitioner packs</w:t>
            </w:r>
            <w:r>
              <w:rPr>
                <w:rFonts w:cs="Arial"/>
                <w:sz w:val="24"/>
                <w:szCs w:val="24"/>
              </w:rPr>
              <w:t xml:space="preserve"> </w:t>
            </w:r>
            <w:r w:rsidRPr="00F408EB">
              <w:rPr>
                <w:rFonts w:cs="Arial"/>
                <w:sz w:val="24"/>
                <w:szCs w:val="24"/>
              </w:rPr>
              <w:t>a</w:t>
            </w:r>
            <w:r>
              <w:rPr>
                <w:rFonts w:cs="Arial"/>
                <w:sz w:val="24"/>
                <w:szCs w:val="24"/>
              </w:rPr>
              <w:t>nd associated briefings documents</w:t>
            </w:r>
          </w:p>
          <w:p w:rsidR="00180936" w:rsidRPr="00706B82" w:rsidRDefault="00180936" w:rsidP="00C6014C">
            <w:pPr>
              <w:rPr>
                <w:rFonts w:cs="Arial"/>
                <w:sz w:val="24"/>
                <w:szCs w:val="24"/>
              </w:rPr>
            </w:pPr>
          </w:p>
        </w:tc>
        <w:tc>
          <w:tcPr>
            <w:tcW w:w="7371" w:type="dxa"/>
          </w:tcPr>
          <w:p w:rsidR="00180936" w:rsidRPr="00180936" w:rsidRDefault="00180936" w:rsidP="00C6014C">
            <w:pPr>
              <w:pStyle w:val="NoSpacing"/>
              <w:rPr>
                <w:rFonts w:ascii="Arial" w:hAnsi="Arial"/>
                <w:sz w:val="24"/>
                <w:lang w:eastAsia="en-GB"/>
              </w:rPr>
            </w:pPr>
            <w:r w:rsidRPr="00180936">
              <w:rPr>
                <w:rFonts w:ascii="Arial" w:hAnsi="Arial"/>
                <w:sz w:val="24"/>
                <w:lang w:eastAsia="en-GB"/>
              </w:rPr>
              <w:t>These resources provide detailed information for practitioners around how to deliver Alcohol Brief Interventions in priority settings.  They contain screening tools which can help facilitate a conversation with someone about their alcohol consumption and ways to build confidence to help people reduce their drinking, if they wish to do so.</w:t>
            </w:r>
          </w:p>
          <w:p w:rsidR="00180936" w:rsidRPr="00180936" w:rsidRDefault="00180936" w:rsidP="00C6014C">
            <w:pPr>
              <w:pStyle w:val="NoSpacing"/>
              <w:rPr>
                <w:rFonts w:ascii="Arial" w:hAnsi="Arial"/>
                <w:sz w:val="24"/>
                <w:lang w:eastAsia="en-GB"/>
              </w:rPr>
            </w:pPr>
            <w:r w:rsidRPr="00180936">
              <w:rPr>
                <w:rFonts w:ascii="Arial" w:hAnsi="Arial"/>
                <w:sz w:val="24"/>
                <w:lang w:eastAsia="en-GB"/>
              </w:rPr>
              <w:t>The following resources are available:</w:t>
            </w:r>
          </w:p>
          <w:p w:rsidR="00180936" w:rsidRPr="00180936" w:rsidRDefault="00180936" w:rsidP="00C6014C">
            <w:pPr>
              <w:pStyle w:val="NoSpacing"/>
              <w:rPr>
                <w:rFonts w:ascii="Arial" w:hAnsi="Arial"/>
                <w:sz w:val="24"/>
                <w:szCs w:val="24"/>
                <w:lang w:eastAsia="en-GB"/>
              </w:rPr>
            </w:pPr>
          </w:p>
          <w:p w:rsidR="00180936" w:rsidRPr="00180936" w:rsidRDefault="00180936" w:rsidP="00180936">
            <w:pPr>
              <w:pStyle w:val="NoSpacing"/>
              <w:numPr>
                <w:ilvl w:val="0"/>
                <w:numId w:val="8"/>
              </w:numPr>
              <w:rPr>
                <w:rFonts w:ascii="Arial" w:hAnsi="Arial"/>
                <w:sz w:val="24"/>
                <w:lang w:eastAsia="en-GB"/>
              </w:rPr>
            </w:pPr>
            <w:hyperlink r:id="rId15" w:history="1">
              <w:r w:rsidRPr="00180936">
                <w:rPr>
                  <w:rFonts w:ascii="Arial" w:hAnsi="Arial"/>
                  <w:sz w:val="24"/>
                  <w:lang w:eastAsia="en-GB"/>
                </w:rPr>
                <w:t xml:space="preserve">ABI Primary care professional pack </w:t>
              </w:r>
            </w:hyperlink>
          </w:p>
          <w:p w:rsidR="00180936" w:rsidRPr="00180936" w:rsidRDefault="00180936" w:rsidP="00180936">
            <w:pPr>
              <w:pStyle w:val="NoSpacing"/>
              <w:numPr>
                <w:ilvl w:val="0"/>
                <w:numId w:val="8"/>
              </w:numPr>
              <w:rPr>
                <w:rFonts w:ascii="Arial" w:hAnsi="Arial"/>
                <w:sz w:val="24"/>
                <w:lang w:eastAsia="en-GB"/>
              </w:rPr>
            </w:pPr>
            <w:hyperlink r:id="rId16" w:history="1">
              <w:r w:rsidRPr="00180936">
                <w:rPr>
                  <w:rFonts w:ascii="Arial" w:hAnsi="Arial"/>
                  <w:sz w:val="24"/>
                  <w:lang w:eastAsia="en-GB"/>
                </w:rPr>
                <w:t xml:space="preserve">ABI A&amp;E professional pack </w:t>
              </w:r>
            </w:hyperlink>
          </w:p>
          <w:p w:rsidR="00180936" w:rsidRPr="00180936" w:rsidRDefault="00180936" w:rsidP="00180936">
            <w:pPr>
              <w:pStyle w:val="NoSpacing"/>
              <w:numPr>
                <w:ilvl w:val="0"/>
                <w:numId w:val="8"/>
              </w:numPr>
              <w:rPr>
                <w:rFonts w:ascii="Arial" w:hAnsi="Arial"/>
                <w:sz w:val="24"/>
                <w:lang w:eastAsia="en-GB"/>
              </w:rPr>
            </w:pPr>
            <w:hyperlink r:id="rId17" w:history="1">
              <w:r w:rsidRPr="00180936">
                <w:rPr>
                  <w:rFonts w:ascii="Arial" w:hAnsi="Arial"/>
                  <w:sz w:val="24"/>
                  <w:lang w:eastAsia="en-GB"/>
                </w:rPr>
                <w:t xml:space="preserve">ABI Antenatal professional pack </w:t>
              </w:r>
            </w:hyperlink>
          </w:p>
          <w:p w:rsidR="00180936" w:rsidRPr="00180936" w:rsidRDefault="00180936" w:rsidP="00180936">
            <w:pPr>
              <w:pStyle w:val="NoSpacing"/>
              <w:numPr>
                <w:ilvl w:val="0"/>
                <w:numId w:val="8"/>
              </w:numPr>
              <w:rPr>
                <w:rFonts w:ascii="Arial" w:hAnsi="Arial"/>
                <w:sz w:val="24"/>
                <w:lang w:eastAsia="en-GB"/>
              </w:rPr>
            </w:pPr>
            <w:r w:rsidRPr="00180936">
              <w:rPr>
                <w:rFonts w:ascii="Arial" w:hAnsi="Arial"/>
                <w:sz w:val="24"/>
                <w:lang w:eastAsia="en-GB"/>
              </w:rPr>
              <w:t xml:space="preserve">Antenatal briefing paper </w:t>
            </w:r>
          </w:p>
          <w:p w:rsidR="00180936" w:rsidRPr="00180936" w:rsidRDefault="00180936" w:rsidP="00180936">
            <w:pPr>
              <w:pStyle w:val="NoSpacing"/>
              <w:numPr>
                <w:ilvl w:val="0"/>
                <w:numId w:val="8"/>
              </w:numPr>
              <w:rPr>
                <w:rFonts w:ascii="Arial" w:hAnsi="Arial"/>
                <w:sz w:val="24"/>
                <w:lang w:eastAsia="en-GB"/>
              </w:rPr>
            </w:pPr>
            <w:r w:rsidRPr="00180936">
              <w:rPr>
                <w:rFonts w:ascii="Arial" w:hAnsi="Arial"/>
                <w:sz w:val="24"/>
                <w:lang w:eastAsia="en-GB"/>
              </w:rPr>
              <w:t>ABI briefing paper</w:t>
            </w:r>
          </w:p>
          <w:p w:rsidR="00180936" w:rsidRPr="00180936" w:rsidRDefault="00180936" w:rsidP="00C6014C">
            <w:pPr>
              <w:pStyle w:val="NoSpacing"/>
              <w:ind w:left="720"/>
              <w:rPr>
                <w:rFonts w:ascii="Arial" w:hAnsi="Arial" w:cs="Arial"/>
                <w:sz w:val="24"/>
                <w:szCs w:val="24"/>
                <w:lang w:eastAsia="en-GB"/>
              </w:rPr>
            </w:pPr>
          </w:p>
          <w:p w:rsidR="00180936" w:rsidRPr="00180936" w:rsidRDefault="00180936" w:rsidP="00C6014C">
            <w:pPr>
              <w:pStyle w:val="NoSpacing"/>
              <w:rPr>
                <w:rFonts w:ascii="Arial" w:hAnsi="Arial" w:cs="Arial"/>
                <w:sz w:val="24"/>
                <w:szCs w:val="24"/>
                <w:lang w:eastAsia="en-GB"/>
              </w:rPr>
            </w:pPr>
            <w:r w:rsidRPr="00180936">
              <w:rPr>
                <w:rFonts w:ascii="Arial" w:hAnsi="Arial" w:cs="Arial"/>
                <w:sz w:val="24"/>
                <w:szCs w:val="24"/>
                <w:lang w:eastAsia="en-GB"/>
              </w:rPr>
              <w:t>Please note these resources are currently only available in downloadable format.</w:t>
            </w:r>
          </w:p>
        </w:tc>
      </w:tr>
    </w:tbl>
    <w:p w:rsidR="00B57326" w:rsidRPr="00B57326" w:rsidRDefault="00B57326" w:rsidP="00180936"/>
    <w:sectPr w:rsidR="00B57326" w:rsidRPr="00B57326" w:rsidSect="00B561C0">
      <w:pgSz w:w="11906" w:h="16838" w:code="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QLRV F+ Futura BT">
    <w:altName w:val="Futu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B94514"/>
    <w:multiLevelType w:val="hybridMultilevel"/>
    <w:tmpl w:val="827A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687C2838"/>
    <w:multiLevelType w:val="hybridMultilevel"/>
    <w:tmpl w:val="392E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1021"/>
  <w:defaultTabStop w:val="720"/>
  <w:drawingGridHorizontalSpacing w:val="120"/>
  <w:displayHorizontalDrawingGridEvery w:val="2"/>
  <w:displayVerticalDrawingGridEvery w:val="2"/>
  <w:characterSpacingControl w:val="doNotCompress"/>
  <w:compat/>
  <w:rsids>
    <w:rsidRoot w:val="00B57326"/>
    <w:rsid w:val="00027C27"/>
    <w:rsid w:val="000C0CF4"/>
    <w:rsid w:val="00122E14"/>
    <w:rsid w:val="001441B3"/>
    <w:rsid w:val="00180936"/>
    <w:rsid w:val="0022168E"/>
    <w:rsid w:val="00221907"/>
    <w:rsid w:val="00235C44"/>
    <w:rsid w:val="00281579"/>
    <w:rsid w:val="00306C61"/>
    <w:rsid w:val="003439EF"/>
    <w:rsid w:val="0037582B"/>
    <w:rsid w:val="00543CFC"/>
    <w:rsid w:val="0060762E"/>
    <w:rsid w:val="00732B06"/>
    <w:rsid w:val="007E00FA"/>
    <w:rsid w:val="00857548"/>
    <w:rsid w:val="008E7D80"/>
    <w:rsid w:val="009B7615"/>
    <w:rsid w:val="00AA5758"/>
    <w:rsid w:val="00AC77A1"/>
    <w:rsid w:val="00B51BDC"/>
    <w:rsid w:val="00B561C0"/>
    <w:rsid w:val="00B57326"/>
    <w:rsid w:val="00B72A71"/>
    <w:rsid w:val="00B773CE"/>
    <w:rsid w:val="00BB064B"/>
    <w:rsid w:val="00BE0395"/>
    <w:rsid w:val="00C91823"/>
    <w:rsid w:val="00D008AB"/>
    <w:rsid w:val="00DD7A2C"/>
    <w:rsid w:val="00E51B9A"/>
    <w:rsid w:val="00EB688F"/>
    <w:rsid w:val="00EC0315"/>
    <w:rsid w:val="00F233D5"/>
    <w:rsid w:val="00FA4BC1"/>
    <w:rsid w:val="00FC4D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uiPriority w:val="1"/>
    <w:qFormat/>
    <w:rsid w:val="00B57326"/>
    <w:rPr>
      <w:rFonts w:eastAsiaTheme="minorHAnsi"/>
    </w:rPr>
  </w:style>
  <w:style w:type="character" w:styleId="Hyperlink">
    <w:name w:val="Hyperlink"/>
    <w:basedOn w:val="DefaultParagraphFont"/>
    <w:uiPriority w:val="99"/>
    <w:unhideWhenUsed/>
    <w:rsid w:val="00B57326"/>
    <w:rPr>
      <w:strike w:val="0"/>
      <w:dstrike w:val="0"/>
      <w:color w:val="337AB7"/>
      <w:u w:val="none"/>
      <w:effect w:val="none"/>
      <w:shd w:val="clear" w:color="auto" w:fill="auto"/>
    </w:rPr>
  </w:style>
  <w:style w:type="character" w:customStyle="1" w:styleId="A7">
    <w:name w:val="A7"/>
    <w:basedOn w:val="DefaultParagraphFont"/>
    <w:uiPriority w:val="99"/>
    <w:rsid w:val="00B57326"/>
    <w:rPr>
      <w:rFonts w:ascii="YQLRV F+ Futura BT" w:hAnsi="YQLRV F+ Futura BT" w:hint="default"/>
      <w:color w:val="000000"/>
      <w:u w:val="single"/>
    </w:rPr>
  </w:style>
  <w:style w:type="table" w:styleId="TableGrid">
    <w:name w:val="Table Grid"/>
    <w:basedOn w:val="TableNormal"/>
    <w:uiPriority w:val="39"/>
    <w:rsid w:val="00B5732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7326"/>
    <w:rPr>
      <w:color w:val="954F72" w:themeColor="followedHyperlink"/>
      <w:u w:val="single"/>
    </w:rPr>
  </w:style>
  <w:style w:type="character" w:styleId="CommentReference">
    <w:name w:val="annotation reference"/>
    <w:basedOn w:val="DefaultParagraphFont"/>
    <w:uiPriority w:val="99"/>
    <w:semiHidden/>
    <w:unhideWhenUsed/>
    <w:rsid w:val="003439EF"/>
    <w:rPr>
      <w:sz w:val="16"/>
      <w:szCs w:val="16"/>
    </w:rPr>
  </w:style>
  <w:style w:type="paragraph" w:styleId="CommentText">
    <w:name w:val="annotation text"/>
    <w:basedOn w:val="Normal"/>
    <w:link w:val="CommentTextChar"/>
    <w:uiPriority w:val="99"/>
    <w:semiHidden/>
    <w:unhideWhenUsed/>
    <w:rsid w:val="003439EF"/>
    <w:rPr>
      <w:sz w:val="20"/>
    </w:rPr>
  </w:style>
  <w:style w:type="character" w:customStyle="1" w:styleId="CommentTextChar">
    <w:name w:val="Comment Text Char"/>
    <w:basedOn w:val="DefaultParagraphFont"/>
    <w:link w:val="CommentText"/>
    <w:uiPriority w:val="99"/>
    <w:semiHidden/>
    <w:rsid w:val="003439E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439EF"/>
    <w:rPr>
      <w:b/>
      <w:bCs/>
    </w:rPr>
  </w:style>
  <w:style w:type="character" w:customStyle="1" w:styleId="CommentSubjectChar">
    <w:name w:val="Comment Subject Char"/>
    <w:basedOn w:val="CommentTextChar"/>
    <w:link w:val="CommentSubject"/>
    <w:uiPriority w:val="99"/>
    <w:semiHidden/>
    <w:rsid w:val="003439EF"/>
    <w:rPr>
      <w:rFonts w:ascii="Arial" w:hAnsi="Arial" w:cs="Times New Roman"/>
      <w:b/>
      <w:bCs/>
      <w:sz w:val="20"/>
      <w:szCs w:val="20"/>
    </w:rPr>
  </w:style>
  <w:style w:type="paragraph" w:styleId="BalloonText">
    <w:name w:val="Balloon Text"/>
    <w:basedOn w:val="Normal"/>
    <w:link w:val="BalloonTextChar"/>
    <w:uiPriority w:val="99"/>
    <w:semiHidden/>
    <w:unhideWhenUsed/>
    <w:rsid w:val="0034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EF"/>
    <w:rPr>
      <w:rFonts w:ascii="Segoe UI" w:hAnsi="Segoe UI" w:cs="Segoe UI"/>
      <w:sz w:val="18"/>
      <w:szCs w:val="18"/>
    </w:rPr>
  </w:style>
  <w:style w:type="paragraph" w:styleId="Revision">
    <w:name w:val="Revision"/>
    <w:hidden/>
    <w:uiPriority w:val="99"/>
    <w:semiHidden/>
    <w:rsid w:val="00B72A71"/>
    <w:rPr>
      <w:rFonts w:ascii="Arial"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127234295">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pac.nhsl.lanarkshire.scot.nhs.uk/HPAC/MoreDetailsv4.jsp?id=13851&amp;subjectId=1733&amp;referrer=http://hpac.nhsl.lanarkshire.scot.nhs.uk/HPAC/BrowseSearchv4.jsp?subjectId=1733&amp;typeId=L&amp;submit=true&amp;sort=dater&amp;page=2" TargetMode="External"/><Relationship Id="rId12" Type="http://schemas.openxmlformats.org/officeDocument/2006/relationships/hyperlink" Target="http://www.phrd.scot.nhs.uk/HPAC/MoreDetailsv4.jsp?id=228&amp;subjectId=3&amp;referrer=http://www.phrd.scot.nhs.uk/HPAC/BrowseSearchv4.jsp?subjectIdBrowse=3&amp;typeId=B&amp;sort=dater&amp;page=1&amp;submit=true&amp;newSearch=true&amp;dsn=hpglasgow" TargetMode="External"/><Relationship Id="rId17" Type="http://schemas.openxmlformats.org/officeDocument/2006/relationships/hyperlink" Target="http://www.healthscotland.scot/media/1281/antenatal-cribsheet_jan2017_english.pdf" TargetMode="External"/><Relationship Id="rId2" Type="http://schemas.openxmlformats.org/officeDocument/2006/relationships/styles" Target="styles.xml"/><Relationship Id="rId16" Type="http://schemas.openxmlformats.org/officeDocument/2006/relationships/hyperlink" Target="http://www.healthscotland.scot/media/1283/ae-cribsheet_jan2017_english.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healthscotland.scot/media/1282/primary-care-cribsheet_jan2017_english.pdf" TargetMode="External"/><Relationship Id="rId10" Type="http://schemas.openxmlformats.org/officeDocument/2006/relationships/hyperlink" Target="http://www.phrd.scot.nhs.uk/HPAC/MoreDetailsv4.jsp?id=541&amp;subjectId=3&amp;referrer=http://www.phrd.scot.nhs.uk/HPAC/BrowseSearchv4.jsp?subjectIdBrowse=3&amp;typeId=B&amp;sort=dater&amp;page=1&amp;submit=true&amp;newSearch=true&amp;dsn=hpglasg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 C (Christopher)</dc:creator>
  <cp:lastModifiedBy>Anne Ndlozi</cp:lastModifiedBy>
  <cp:revision>2</cp:revision>
  <dcterms:created xsi:type="dcterms:W3CDTF">2020-01-22T11:18:00Z</dcterms:created>
  <dcterms:modified xsi:type="dcterms:W3CDTF">2020-01-22T11:18:00Z</dcterms:modified>
</cp:coreProperties>
</file>